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3201B">
      <w:pPr>
        <w:widowControl w:val="0"/>
        <w:autoSpaceDE w:val="0"/>
        <w:autoSpaceDN w:val="0"/>
        <w:adjustRightInd w:val="0"/>
        <w:spacing w:after="0" w:line="240" w:lineRule="auto"/>
        <w:rPr>
          <w:rFonts w:ascii="sans-serif" w:hAnsi="sans-serif" w:cs="sans-serif"/>
          <w:color w:val="000000"/>
          <w:sz w:val="24"/>
          <w:szCs w:val="24"/>
        </w:rPr>
      </w:pPr>
    </w:p>
    <w:p w:rsidR="00000000" w:rsidRDefault="0013201B">
      <w:pPr>
        <w:widowControl w:val="0"/>
        <w:autoSpaceDE w:val="0"/>
        <w:autoSpaceDN w:val="0"/>
        <w:adjustRightInd w:val="0"/>
        <w:spacing w:after="0" w:line="240" w:lineRule="auto"/>
        <w:rPr>
          <w:rFonts w:ascii="Arial" w:hAnsi="Arial" w:cs="Arial"/>
          <w:sz w:val="24"/>
          <w:szCs w:val="24"/>
        </w:rPr>
        <w:sectPr w:rsidR="00000000">
          <w:headerReference w:type="default" r:id="rId7"/>
          <w:footerReference w:type="default" r:id="rId8"/>
          <w:pgSz w:w="12240" w:h="15840"/>
          <w:pgMar w:top="1080" w:right="1080" w:bottom="1080" w:left="1080" w:header="720" w:footer="720" w:gutter="0"/>
          <w:cols w:space="720"/>
          <w:noEndnote/>
        </w:sectPr>
      </w:pP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Arial" w:hAnsi="Arial" w:cs="Arial"/>
          <w:sz w:val="24"/>
          <w:szCs w:val="24"/>
        </w:rPr>
        <w:lastRenderedPageBreak/>
        <w:t xml:space="preserve"> </w:t>
      </w:r>
      <w:bookmarkStart w:id="0" w:name="co_document_1"/>
      <w:bookmarkStart w:id="1" w:name="I8f38a1fc6e8311e1be29b2facdefeebe_Target"/>
      <w:bookmarkEnd w:id="0"/>
      <w:bookmarkEnd w:id="1"/>
    </w:p>
    <w:p w:rsidR="00000000" w:rsidRDefault="0013201B">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2012 WL 845508 (</w:t>
      </w:r>
      <w:proofErr w:type="spellStart"/>
      <w:r>
        <w:rPr>
          <w:rFonts w:ascii="Georgia" w:hAnsi="Georgia" w:cs="Georgia"/>
          <w:color w:val="000000"/>
          <w:sz w:val="20"/>
          <w:szCs w:val="20"/>
        </w:rPr>
        <w:t>Cal.Su</w:t>
      </w:r>
      <w:r>
        <w:rPr>
          <w:rFonts w:ascii="Georgia" w:hAnsi="Georgia" w:cs="Georgia"/>
          <w:color w:val="000000"/>
          <w:sz w:val="20"/>
          <w:szCs w:val="20"/>
        </w:rPr>
        <w:t>perior</w:t>
      </w:r>
      <w:proofErr w:type="spellEnd"/>
      <w:r>
        <w:rPr>
          <w:rFonts w:ascii="Georgia" w:hAnsi="Georgia" w:cs="Georgia"/>
          <w:color w:val="000000"/>
          <w:sz w:val="20"/>
          <w:szCs w:val="20"/>
        </w:rPr>
        <w:t>) (Trial Order)</w:t>
      </w:r>
    </w:p>
    <w:p w:rsidR="00000000" w:rsidRDefault="0013201B">
      <w:pPr>
        <w:widowControl w:val="0"/>
        <w:autoSpaceDE w:val="0"/>
        <w:autoSpaceDN w:val="0"/>
        <w:adjustRightInd w:val="0"/>
        <w:spacing w:after="0" w:line="240" w:lineRule="auto"/>
        <w:jc w:val="center"/>
        <w:rPr>
          <w:rFonts w:ascii="Georgia" w:hAnsi="Georgia" w:cs="Georgia"/>
          <w:color w:val="000000"/>
          <w:sz w:val="20"/>
          <w:szCs w:val="20"/>
        </w:rPr>
      </w:pPr>
      <w:proofErr w:type="gramStart"/>
      <w:r>
        <w:rPr>
          <w:rFonts w:ascii="Georgia" w:hAnsi="Georgia" w:cs="Georgia"/>
          <w:color w:val="000000"/>
          <w:sz w:val="20"/>
          <w:szCs w:val="20"/>
        </w:rPr>
        <w:t>Superior Court of California.</w:t>
      </w:r>
      <w:proofErr w:type="gramEnd"/>
    </w:p>
    <w:p w:rsidR="00000000" w:rsidRDefault="0013201B">
      <w:pPr>
        <w:widowControl w:val="0"/>
        <w:autoSpaceDE w:val="0"/>
        <w:autoSpaceDN w:val="0"/>
        <w:adjustRightInd w:val="0"/>
        <w:spacing w:after="0" w:line="240" w:lineRule="auto"/>
        <w:jc w:val="center"/>
        <w:rPr>
          <w:rFonts w:ascii="Georgia" w:hAnsi="Georgia" w:cs="Georgia"/>
          <w:color w:val="000000"/>
          <w:sz w:val="20"/>
          <w:szCs w:val="20"/>
        </w:rPr>
      </w:pPr>
      <w:r>
        <w:rPr>
          <w:rFonts w:ascii="Georgia" w:hAnsi="Georgia" w:cs="Georgia"/>
          <w:color w:val="000000"/>
          <w:sz w:val="20"/>
          <w:szCs w:val="20"/>
        </w:rPr>
        <w:t>Los Angeles County</w:t>
      </w:r>
    </w:p>
    <w:p w:rsidR="00000000" w:rsidRDefault="0013201B">
      <w:pPr>
        <w:widowControl w:val="0"/>
        <w:autoSpaceDE w:val="0"/>
        <w:autoSpaceDN w:val="0"/>
        <w:adjustRightInd w:val="0"/>
        <w:spacing w:before="200" w:after="0" w:line="240" w:lineRule="auto"/>
        <w:ind w:left="100" w:right="100"/>
        <w:jc w:val="center"/>
        <w:rPr>
          <w:rFonts w:ascii="Georgia" w:hAnsi="Georgia" w:cs="Georgia"/>
          <w:color w:val="252525"/>
          <w:sz w:val="20"/>
          <w:szCs w:val="20"/>
        </w:rPr>
      </w:pPr>
      <w:proofErr w:type="spellStart"/>
      <w:r>
        <w:rPr>
          <w:rFonts w:ascii="Georgia" w:hAnsi="Georgia" w:cs="Georgia"/>
          <w:color w:val="252525"/>
          <w:sz w:val="20"/>
          <w:szCs w:val="20"/>
        </w:rPr>
        <w:t>Pnmac</w:t>
      </w:r>
      <w:proofErr w:type="spellEnd"/>
      <w:r>
        <w:rPr>
          <w:rFonts w:ascii="Georgia" w:hAnsi="Georgia" w:cs="Georgia"/>
          <w:color w:val="252525"/>
          <w:sz w:val="20"/>
          <w:szCs w:val="20"/>
        </w:rPr>
        <w:t xml:space="preserve"> MORTGAGE, Plaintiff,</w:t>
      </w:r>
    </w:p>
    <w:p w:rsidR="00000000" w:rsidRDefault="0013201B">
      <w:pPr>
        <w:widowControl w:val="0"/>
        <w:autoSpaceDE w:val="0"/>
        <w:autoSpaceDN w:val="0"/>
        <w:adjustRightInd w:val="0"/>
        <w:spacing w:after="0" w:line="240" w:lineRule="auto"/>
        <w:ind w:left="100" w:right="100"/>
        <w:jc w:val="center"/>
        <w:rPr>
          <w:rFonts w:ascii="Georgia" w:hAnsi="Georgia" w:cs="Georgia"/>
          <w:color w:val="252525"/>
          <w:sz w:val="20"/>
          <w:szCs w:val="20"/>
        </w:rPr>
      </w:pPr>
      <w:proofErr w:type="gramStart"/>
      <w:r>
        <w:rPr>
          <w:rFonts w:ascii="Georgia" w:hAnsi="Georgia" w:cs="Georgia"/>
          <w:color w:val="252525"/>
          <w:sz w:val="20"/>
          <w:szCs w:val="20"/>
        </w:rPr>
        <w:t>v</w:t>
      </w:r>
      <w:proofErr w:type="gramEnd"/>
      <w:r>
        <w:rPr>
          <w:rFonts w:ascii="Georgia" w:hAnsi="Georgia" w:cs="Georgia"/>
          <w:color w:val="252525"/>
          <w:sz w:val="20"/>
          <w:szCs w:val="20"/>
        </w:rPr>
        <w:t>.</w:t>
      </w:r>
    </w:p>
    <w:p w:rsidR="00000000" w:rsidRDefault="00C30F16">
      <w:pPr>
        <w:widowControl w:val="0"/>
        <w:autoSpaceDE w:val="0"/>
        <w:autoSpaceDN w:val="0"/>
        <w:adjustRightInd w:val="0"/>
        <w:spacing w:line="240" w:lineRule="auto"/>
        <w:ind w:left="100" w:right="100"/>
        <w:jc w:val="center"/>
        <w:rPr>
          <w:rFonts w:ascii="Georgia" w:hAnsi="Georgia" w:cs="Georgia"/>
          <w:color w:val="252525"/>
          <w:sz w:val="20"/>
          <w:szCs w:val="20"/>
        </w:rPr>
      </w:pPr>
      <w:proofErr w:type="gramStart"/>
      <w:r>
        <w:rPr>
          <w:rFonts w:ascii="Georgia" w:hAnsi="Georgia" w:cs="Georgia"/>
          <w:color w:val="252525"/>
          <w:sz w:val="20"/>
          <w:szCs w:val="20"/>
        </w:rPr>
        <w:t>K.S</w:t>
      </w:r>
      <w:r w:rsidR="0013201B">
        <w:rPr>
          <w:rFonts w:ascii="Georgia" w:hAnsi="Georgia" w:cs="Georgia"/>
          <w:color w:val="252525"/>
          <w:sz w:val="20"/>
          <w:szCs w:val="20"/>
        </w:rPr>
        <w:t>, Defe</w:t>
      </w:r>
      <w:r w:rsidR="0013201B">
        <w:rPr>
          <w:rFonts w:ascii="Georgia" w:hAnsi="Georgia" w:cs="Georgia"/>
          <w:color w:val="252525"/>
          <w:sz w:val="20"/>
          <w:szCs w:val="20"/>
        </w:rPr>
        <w:t>ndant.</w:t>
      </w:r>
      <w:proofErr w:type="gramEnd"/>
    </w:p>
    <w:p w:rsidR="00000000" w:rsidRDefault="0013201B">
      <w:pPr>
        <w:widowControl w:val="0"/>
        <w:autoSpaceDE w:val="0"/>
        <w:autoSpaceDN w:val="0"/>
        <w:adjustRightInd w:val="0"/>
        <w:spacing w:after="0" w:line="240" w:lineRule="auto"/>
        <w:jc w:val="center"/>
        <w:rPr>
          <w:rFonts w:ascii="Georgia" w:hAnsi="Georgia" w:cs="Georgia"/>
          <w:color w:val="000000"/>
          <w:sz w:val="20"/>
          <w:szCs w:val="20"/>
        </w:rPr>
      </w:pPr>
      <w:proofErr w:type="gramStart"/>
      <w:r>
        <w:rPr>
          <w:rFonts w:ascii="Georgia" w:hAnsi="Georgia" w:cs="Georgia"/>
          <w:color w:val="000000"/>
          <w:sz w:val="20"/>
          <w:szCs w:val="20"/>
        </w:rPr>
        <w:t>No. 11U04495.</w:t>
      </w:r>
      <w:proofErr w:type="gramEnd"/>
    </w:p>
    <w:p w:rsidR="00000000" w:rsidRDefault="0013201B">
      <w:pPr>
        <w:widowControl w:val="0"/>
        <w:autoSpaceDE w:val="0"/>
        <w:autoSpaceDN w:val="0"/>
        <w:adjustRightInd w:val="0"/>
        <w:spacing w:line="240" w:lineRule="auto"/>
        <w:jc w:val="center"/>
        <w:rPr>
          <w:rFonts w:ascii="Georgia" w:hAnsi="Georgia" w:cs="Georgia"/>
          <w:color w:val="000000"/>
          <w:sz w:val="20"/>
          <w:szCs w:val="20"/>
        </w:rPr>
      </w:pPr>
      <w:r>
        <w:rPr>
          <w:rFonts w:ascii="Georgia" w:hAnsi="Georgia" w:cs="Georgia"/>
          <w:color w:val="000000"/>
          <w:sz w:val="20"/>
          <w:szCs w:val="20"/>
        </w:rPr>
        <w:t>March 7, 2012.</w:t>
      </w:r>
    </w:p>
    <w:p w:rsidR="00000000" w:rsidRDefault="0013201B">
      <w:pPr>
        <w:widowControl w:val="0"/>
        <w:autoSpaceDE w:val="0"/>
        <w:autoSpaceDN w:val="0"/>
        <w:adjustRightInd w:val="0"/>
        <w:spacing w:before="200" w:after="4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Order Re: Defendant’s Motion to Quash</w:t>
      </w:r>
    </w:p>
    <w:p w:rsidR="00000000" w:rsidRDefault="0013201B">
      <w:pPr>
        <w:widowControl w:val="0"/>
        <w:autoSpaceDE w:val="0"/>
        <w:autoSpaceDN w:val="0"/>
        <w:adjustRightInd w:val="0"/>
        <w:spacing w:before="200" w:after="0" w:line="240" w:lineRule="auto"/>
        <w:jc w:val="center"/>
        <w:rPr>
          <w:rFonts w:ascii="Times New Roman" w:hAnsi="Times New Roman" w:cs="Times New Roman"/>
          <w:color w:val="000000"/>
          <w:sz w:val="20"/>
          <w:szCs w:val="20"/>
        </w:rPr>
      </w:pPr>
      <w:hyperlink r:id="rId9" w:history="1">
        <w:r>
          <w:rPr>
            <w:rFonts w:ascii="Times New Roman" w:hAnsi="Times New Roman" w:cs="Times New Roman"/>
            <w:color w:val="000000"/>
            <w:sz w:val="20"/>
            <w:szCs w:val="20"/>
          </w:rPr>
          <w:t>Lawrence H. Cho</w:t>
        </w:r>
      </w:hyperlink>
      <w:r>
        <w:rPr>
          <w:rFonts w:ascii="Times New Roman" w:hAnsi="Times New Roman" w:cs="Times New Roman"/>
          <w:color w:val="000000"/>
          <w:sz w:val="20"/>
          <w:szCs w:val="20"/>
        </w:rPr>
        <w:t>, Judge.</w:t>
      </w:r>
    </w:p>
    <w:p w:rsidR="00000000" w:rsidRDefault="0013201B">
      <w:pPr>
        <w:widowControl w:val="0"/>
        <w:autoSpaceDE w:val="0"/>
        <w:autoSpaceDN w:val="0"/>
        <w:adjustRightInd w:val="0"/>
        <w:spacing w:before="20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Hearing: February 27, 2012</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before="4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w:t>
      </w:r>
    </w:p>
    <w:p w:rsidR="00000000" w:rsidRDefault="0013201B">
      <w:pPr>
        <w:widowControl w:val="0"/>
        <w:autoSpaceDE w:val="0"/>
        <w:autoSpaceDN w:val="0"/>
        <w:adjustRightInd w:val="0"/>
        <w:spacing w:before="20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Facts and Procedural History</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Plaintiffs purchased the prope</w:t>
      </w:r>
      <w:r>
        <w:rPr>
          <w:rFonts w:ascii="Times New Roman" w:hAnsi="Times New Roman" w:cs="Times New Roman"/>
          <w:color w:val="000000"/>
          <w:sz w:val="20"/>
          <w:szCs w:val="20"/>
        </w:rPr>
        <w:t xml:space="preserve">rty at issue at a foreclosure sale in January 2011. Defendant claims to be a tenant of the prior owner. Plaintiff served defendant with a three day notice to pay rent or quit in December 2011, claiming that defendant failed to pay rent of $2,500 per month </w:t>
      </w:r>
      <w:r>
        <w:rPr>
          <w:rFonts w:ascii="Times New Roman" w:hAnsi="Times New Roman" w:cs="Times New Roman"/>
          <w:color w:val="000000"/>
          <w:sz w:val="20"/>
          <w:szCs w:val="20"/>
        </w:rPr>
        <w:t>for a 10 mont</w:t>
      </w:r>
      <w:bookmarkStart w:id="2" w:name="_GoBack"/>
      <w:bookmarkEnd w:id="2"/>
      <w:r>
        <w:rPr>
          <w:rFonts w:ascii="Times New Roman" w:hAnsi="Times New Roman" w:cs="Times New Roman"/>
          <w:color w:val="000000"/>
          <w:sz w:val="20"/>
          <w:szCs w:val="20"/>
        </w:rPr>
        <w:t>h period from March 2011 thru November 2011. The rent was not paid and plaintiff brought this unlawful detainer action to evict defendant.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 brings this instant motion to quash the service of the summons and first amended complaint</w:t>
      </w:r>
      <w:r>
        <w:rPr>
          <w:rFonts w:ascii="Times New Roman" w:hAnsi="Times New Roman" w:cs="Times New Roman"/>
          <w:color w:val="000000"/>
          <w:sz w:val="16"/>
          <w:szCs w:val="16"/>
          <w:vertAlign w:val="superscript"/>
        </w:rPr>
        <w:t>1</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pursuant to </w:t>
      </w:r>
      <w:hyperlink r:id="rId10" w:history="1">
        <w:r>
          <w:rPr>
            <w:rFonts w:ascii="Times New Roman" w:hAnsi="Times New Roman" w:cs="Times New Roman"/>
            <w:i/>
            <w:iCs/>
            <w:color w:val="000000"/>
            <w:sz w:val="20"/>
            <w:szCs w:val="20"/>
          </w:rPr>
          <w:t>Delta Imports v. Municipal Cou</w:t>
        </w:r>
        <w:r>
          <w:rPr>
            <w:rFonts w:ascii="Times New Roman" w:hAnsi="Times New Roman" w:cs="Times New Roman"/>
            <w:i/>
            <w:iCs/>
            <w:color w:val="000000"/>
            <w:sz w:val="20"/>
            <w:szCs w:val="20"/>
          </w:rPr>
          <w:t>rt,</w:t>
        </w:r>
        <w:r>
          <w:rPr>
            <w:rFonts w:ascii="Times New Roman" w:hAnsi="Times New Roman" w:cs="Times New Roman"/>
            <w:color w:val="000000"/>
            <w:sz w:val="20"/>
            <w:szCs w:val="20"/>
          </w:rPr>
          <w:t xml:space="preserve"> 146 Cal.App.3d 1033, 1036 (1983)</w:t>
        </w:r>
      </w:hyperlink>
      <w:r>
        <w:rPr>
          <w:rFonts w:ascii="Times New Roman" w:hAnsi="Times New Roman" w:cs="Times New Roman"/>
          <w:color w:val="000000"/>
          <w:sz w:val="20"/>
          <w:szCs w:val="20"/>
        </w:rPr>
        <w:t>, challenging the sufficiency of the complaint. Specifically, defendant claims that because plaintiffs took over the property by foreclosure, defendant is entitled to a (</w:t>
      </w:r>
      <w:r>
        <w:rPr>
          <w:rFonts w:ascii="Times New Roman" w:hAnsi="Times New Roman" w:cs="Times New Roman"/>
          <w:color w:val="000000"/>
          <w:sz w:val="20"/>
          <w:szCs w:val="20"/>
        </w:rPr>
        <w:t>“</w:t>
      </w:r>
      <w:r>
        <w:rPr>
          <w:rFonts w:ascii="Times New Roman" w:hAnsi="Times New Roman" w:cs="Times New Roman"/>
          <w:color w:val="000000"/>
          <w:sz w:val="20"/>
          <w:szCs w:val="20"/>
        </w:rPr>
        <w:t>PTFA</w:t>
      </w:r>
      <w:r>
        <w:rPr>
          <w:rFonts w:ascii="Times New Roman" w:hAnsi="Times New Roman" w:cs="Times New Roman"/>
          <w:color w:val="000000"/>
          <w:sz w:val="20"/>
          <w:szCs w:val="20"/>
        </w:rPr>
        <w:t>”</w:t>
      </w:r>
      <w:r>
        <w:rPr>
          <w:rFonts w:ascii="Times New Roman" w:hAnsi="Times New Roman" w:cs="Times New Roman"/>
          <w:color w:val="000000"/>
          <w:sz w:val="20"/>
          <w:szCs w:val="20"/>
        </w:rPr>
        <w:t>), rather than the 3 day pay rent or quit</w:t>
      </w:r>
      <w:r>
        <w:rPr>
          <w:rFonts w:ascii="Times New Roman" w:hAnsi="Times New Roman" w:cs="Times New Roman"/>
          <w:color w:val="000000"/>
          <w:sz w:val="20"/>
          <w:szCs w:val="20"/>
        </w:rPr>
        <w:t xml:space="preserve"> notice alleged in the complaint. Plaintiff counters that the 3 day pay rent or quit notice is legally sufficient because, regardless of the 90 day PTFA requirement, tenants still must pay the rent or be subject to only a 3 day pay or quit notice. Oral arg</w:t>
      </w:r>
      <w:r>
        <w:rPr>
          <w:rFonts w:ascii="Times New Roman" w:hAnsi="Times New Roman" w:cs="Times New Roman"/>
          <w:color w:val="000000"/>
          <w:sz w:val="20"/>
          <w:szCs w:val="20"/>
        </w:rPr>
        <w:t>uments were held on February 27, 2012 and the matter was taken under submission.</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before="40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II</w:t>
      </w:r>
    </w:p>
    <w:p w:rsidR="00000000" w:rsidRDefault="0013201B">
      <w:pPr>
        <w:widowControl w:val="0"/>
        <w:autoSpaceDE w:val="0"/>
        <w:autoSpaceDN w:val="0"/>
        <w:adjustRightInd w:val="0"/>
        <w:spacing w:before="200" w:line="240" w:lineRule="auto"/>
        <w:jc w:val="center"/>
        <w:rPr>
          <w:rFonts w:ascii="Times New Roman" w:hAnsi="Times New Roman" w:cs="Times New Roman"/>
          <w:b/>
          <w:bCs/>
          <w:i/>
          <w:iCs/>
          <w:color w:val="000000"/>
          <w:sz w:val="20"/>
          <w:szCs w:val="20"/>
        </w:rPr>
      </w:pPr>
      <w:r>
        <w:rPr>
          <w:rFonts w:ascii="Times New Roman" w:hAnsi="Times New Roman" w:cs="Times New Roman"/>
          <w:b/>
          <w:bCs/>
          <w:i/>
          <w:iCs/>
          <w:color w:val="000000"/>
          <w:sz w:val="20"/>
          <w:szCs w:val="20"/>
        </w:rPr>
        <w:t>ANALYSIS &amp; ORDER</w:t>
      </w:r>
    </w:p>
    <w:p w:rsidR="00000000" w:rsidRDefault="0013201B">
      <w:pPr>
        <w:widowControl w:val="0"/>
        <w:autoSpaceDE w:val="0"/>
        <w:autoSpaceDN w:val="0"/>
        <w:adjustRightInd w:val="0"/>
        <w:spacing w:before="20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 Motion to Quash</w:t>
      </w:r>
    </w:p>
    <w:p w:rsidR="00000000" w:rsidRDefault="0013201B">
      <w:pPr>
        <w:widowControl w:val="0"/>
        <w:autoSpaceDE w:val="0"/>
        <w:autoSpaceDN w:val="0"/>
        <w:adjustRightInd w:val="0"/>
        <w:spacing w:before="20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1. </w:t>
      </w:r>
      <w:r>
        <w:rPr>
          <w:rFonts w:ascii="Times New Roman" w:hAnsi="Times New Roman" w:cs="Times New Roman"/>
          <w:b/>
          <w:bCs/>
          <w:i/>
          <w:iCs/>
          <w:color w:val="000000"/>
          <w:sz w:val="20"/>
          <w:szCs w:val="20"/>
        </w:rPr>
        <w:t>Complaint Caption</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Defendant first argues that the complaint must be quashed because it fails to comply with </w:t>
      </w:r>
      <w:hyperlink r:id="rId11" w:history="1">
        <w:r>
          <w:rPr>
            <w:rFonts w:ascii="Times New Roman" w:hAnsi="Times New Roman" w:cs="Times New Roman"/>
            <w:color w:val="000000"/>
            <w:sz w:val="20"/>
            <w:szCs w:val="20"/>
          </w:rPr>
          <w:t>CCP § 11</w:t>
        </w:r>
      </w:hyperlink>
      <w:r>
        <w:rPr>
          <w:rFonts w:ascii="Times New Roman" w:hAnsi="Times New Roman" w:cs="Times New Roman"/>
          <w:color w:val="000000"/>
          <w:sz w:val="20"/>
          <w:szCs w:val="20"/>
        </w:rPr>
        <w:t xml:space="preserve"> </w:t>
      </w:r>
      <w:hyperlink r:id="rId12" w:history="1">
        <w:r>
          <w:rPr>
            <w:rFonts w:ascii="Times New Roman" w:hAnsi="Times New Roman" w:cs="Times New Roman"/>
            <w:color w:val="000000"/>
            <w:sz w:val="20"/>
            <w:szCs w:val="20"/>
          </w:rPr>
          <w:t>66</w:t>
        </w:r>
      </w:hyperlink>
      <w:r>
        <w:rPr>
          <w:rFonts w:ascii="Times New Roman" w:hAnsi="Times New Roman" w:cs="Times New Roman"/>
          <w:color w:val="000000"/>
          <w:sz w:val="20"/>
          <w:szCs w:val="20"/>
        </w:rPr>
        <w:t>(c), whi</w:t>
      </w:r>
      <w:r>
        <w:rPr>
          <w:rFonts w:ascii="Times New Roman" w:hAnsi="Times New Roman" w:cs="Times New Roman"/>
          <w:color w:val="000000"/>
          <w:sz w:val="20"/>
          <w:szCs w:val="20"/>
        </w:rPr>
        <w:t xml:space="preserve">ch requires that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in an action regarding residential real property based on Section 1161 a, the plaintiff shall state in the caption of the complaint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Action based on </w:t>
      </w:r>
      <w:hyperlink r:id="rId13" w:history="1">
        <w:r>
          <w:rPr>
            <w:rFonts w:ascii="Times New Roman" w:hAnsi="Times New Roman" w:cs="Times New Roman"/>
            <w:color w:val="000000"/>
            <w:sz w:val="20"/>
            <w:szCs w:val="20"/>
          </w:rPr>
          <w:t>Code of Civil Procedure Section 1 1</w:t>
        </w:r>
      </w:hyperlink>
      <w:r>
        <w:rPr>
          <w:rFonts w:ascii="Times New Roman" w:hAnsi="Times New Roman" w:cs="Times New Roman"/>
          <w:color w:val="000000"/>
          <w:sz w:val="20"/>
          <w:szCs w:val="20"/>
        </w:rPr>
        <w:t xml:space="preserve"> </w:t>
      </w:r>
      <w:hyperlink r:id="rId14" w:history="1">
        <w:r>
          <w:rPr>
            <w:rFonts w:ascii="Times New Roman" w:hAnsi="Times New Roman" w:cs="Times New Roman"/>
            <w:color w:val="000000"/>
            <w:sz w:val="20"/>
            <w:szCs w:val="20"/>
          </w:rPr>
          <w:t>6</w:t>
        </w:r>
      </w:hyperlink>
      <w:r>
        <w:rPr>
          <w:rFonts w:ascii="Times New Roman" w:hAnsi="Times New Roman" w:cs="Times New Roman"/>
          <w:color w:val="000000"/>
          <w:sz w:val="20"/>
          <w:szCs w:val="20"/>
        </w:rPr>
        <w:t xml:space="preserve"> </w:t>
      </w:r>
      <w:hyperlink r:id="rId15" w:history="1">
        <w:r>
          <w:rPr>
            <w:rFonts w:ascii="Times New Roman" w:hAnsi="Times New Roman" w:cs="Times New Roman"/>
            <w:color w:val="000000"/>
            <w:sz w:val="20"/>
            <w:szCs w:val="20"/>
          </w:rPr>
          <w:t>1</w:t>
        </w:r>
      </w:hyperlink>
      <w:r>
        <w:rPr>
          <w:rFonts w:ascii="Times New Roman" w:hAnsi="Times New Roman" w:cs="Times New Roman"/>
          <w:color w:val="000000"/>
          <w:sz w:val="20"/>
          <w:szCs w:val="20"/>
        </w:rPr>
        <w:t xml:space="preserve"> 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16" w:history="1">
        <w:r>
          <w:rPr>
            <w:rFonts w:ascii="Times New Roman" w:hAnsi="Times New Roman" w:cs="Times New Roman"/>
            <w:color w:val="000000"/>
            <w:sz w:val="20"/>
            <w:szCs w:val="20"/>
          </w:rPr>
          <w:t>Section 1</w:t>
        </w:r>
      </w:hyperlink>
      <w:r>
        <w:rPr>
          <w:rFonts w:ascii="Times New Roman" w:hAnsi="Times New Roman" w:cs="Times New Roman"/>
          <w:color w:val="000000"/>
          <w:sz w:val="20"/>
          <w:szCs w:val="20"/>
        </w:rPr>
        <w:t xml:space="preserve"> </w:t>
      </w:r>
      <w:hyperlink r:id="rId17" w:history="1">
        <w:r>
          <w:rPr>
            <w:rFonts w:ascii="Times New Roman" w:hAnsi="Times New Roman" w:cs="Times New Roman"/>
            <w:color w:val="000000"/>
            <w:sz w:val="20"/>
            <w:szCs w:val="20"/>
          </w:rPr>
          <w:t>16</w:t>
        </w:r>
      </w:hyperlink>
      <w:r>
        <w:rPr>
          <w:rFonts w:ascii="Times New Roman" w:hAnsi="Times New Roman" w:cs="Times New Roman"/>
          <w:color w:val="000000"/>
          <w:sz w:val="20"/>
          <w:szCs w:val="20"/>
        </w:rPr>
        <w:t xml:space="preserve"> </w:t>
      </w:r>
      <w:hyperlink r:id="rId18" w:history="1">
        <w:r>
          <w:rPr>
            <w:rFonts w:ascii="Times New Roman" w:hAnsi="Times New Roman" w:cs="Times New Roman"/>
            <w:color w:val="000000"/>
            <w:sz w:val="20"/>
            <w:szCs w:val="20"/>
          </w:rPr>
          <w:t>1</w:t>
        </w:r>
      </w:hyperlink>
      <w:r>
        <w:rPr>
          <w:rFonts w:ascii="Times New Roman" w:hAnsi="Times New Roman" w:cs="Times New Roman"/>
          <w:color w:val="000000"/>
          <w:sz w:val="20"/>
          <w:szCs w:val="20"/>
        </w:rPr>
        <w:t xml:space="preserve"> a sets forth the proced</w:t>
      </w:r>
      <w:r>
        <w:rPr>
          <w:rFonts w:ascii="Times New Roman" w:hAnsi="Times New Roman" w:cs="Times New Roman"/>
          <w:color w:val="000000"/>
          <w:sz w:val="20"/>
          <w:szCs w:val="20"/>
        </w:rPr>
        <w:t>ural requirements to evict parties when the property has been sold under a deed of trust/foreclosure sale.</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Plaintiffs concede both that they obtained the property via trustees deed sale and that the complaint fails to contain the applicable language stat</w:t>
      </w:r>
      <w:r>
        <w:rPr>
          <w:rFonts w:ascii="Times New Roman" w:hAnsi="Times New Roman" w:cs="Times New Roman"/>
          <w:color w:val="000000"/>
          <w:sz w:val="20"/>
          <w:szCs w:val="20"/>
        </w:rPr>
        <w:t xml:space="preserve">ed above, but argues that the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1161 a language is not necessary because plaintiffs are not seeking an eviction under that section (foreclosure sale), but rather under </w:t>
      </w:r>
      <w:hyperlink r:id="rId19" w:history="1">
        <w:r>
          <w:rPr>
            <w:rFonts w:ascii="Times New Roman" w:hAnsi="Times New Roman" w:cs="Times New Roman"/>
            <w:color w:val="000000"/>
            <w:sz w:val="20"/>
            <w:szCs w:val="20"/>
          </w:rPr>
          <w:t>CCP § 1161</w:t>
        </w:r>
      </w:hyperlink>
      <w:r>
        <w:rPr>
          <w:rFonts w:ascii="Times New Roman" w:hAnsi="Times New Roman" w:cs="Times New Roman"/>
          <w:color w:val="000000"/>
          <w:sz w:val="20"/>
          <w:szCs w:val="20"/>
        </w:rPr>
        <w:t>(2) (failure to pay rent).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Court agrees with </w:t>
      </w:r>
      <w:proofErr w:type="gramStart"/>
      <w:r>
        <w:rPr>
          <w:rFonts w:ascii="Times New Roman" w:hAnsi="Times New Roman" w:cs="Times New Roman"/>
          <w:color w:val="000000"/>
          <w:sz w:val="20"/>
          <w:szCs w:val="20"/>
        </w:rPr>
        <w:t>plaintiffs</w:t>
      </w:r>
      <w:proofErr w:type="gramEnd"/>
      <w:r>
        <w:rPr>
          <w:rFonts w:ascii="Times New Roman" w:hAnsi="Times New Roman" w:cs="Times New Roman"/>
          <w:color w:val="000000"/>
          <w:sz w:val="20"/>
          <w:szCs w:val="20"/>
        </w:rPr>
        <w:t xml:space="preserve"> argument th</w:t>
      </w:r>
      <w:r>
        <w:rPr>
          <w:rFonts w:ascii="Times New Roman" w:hAnsi="Times New Roman" w:cs="Times New Roman"/>
          <w:color w:val="000000"/>
          <w:sz w:val="20"/>
          <w:szCs w:val="20"/>
        </w:rPr>
        <w:t>at their choice of legal theory dictates the procedural landscape and that since they have chosen failure to pay rent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Court agrees with plaintiffs argument that their choice of legal theory dictates the procedural landscape and that since they have </w:t>
      </w:r>
      <w:r>
        <w:rPr>
          <w:rFonts w:ascii="Times New Roman" w:hAnsi="Times New Roman" w:cs="Times New Roman"/>
          <w:color w:val="000000"/>
          <w:sz w:val="20"/>
          <w:szCs w:val="20"/>
        </w:rPr>
        <w:t xml:space="preserve">chosen failure to pay rent under </w:t>
      </w:r>
      <w:hyperlink r:id="rId20" w:history="1">
        <w:r>
          <w:rPr>
            <w:rFonts w:ascii="Times New Roman" w:hAnsi="Times New Roman" w:cs="Times New Roman"/>
            <w:color w:val="000000"/>
            <w:sz w:val="20"/>
            <w:szCs w:val="20"/>
          </w:rPr>
          <w:t>CCP §1</w:t>
        </w:r>
      </w:hyperlink>
      <w:r>
        <w:rPr>
          <w:rFonts w:ascii="Times New Roman" w:hAnsi="Times New Roman" w:cs="Times New Roman"/>
          <w:color w:val="000000"/>
          <w:sz w:val="20"/>
          <w:szCs w:val="20"/>
        </w:rPr>
        <w:t xml:space="preserve"> 161 as their theory of liability, the required language of </w:t>
      </w:r>
      <w:hyperlink r:id="rId21" w:history="1">
        <w:r>
          <w:rPr>
            <w:rFonts w:ascii="Times New Roman" w:hAnsi="Times New Roman" w:cs="Times New Roman"/>
            <w:color w:val="000000"/>
            <w:sz w:val="20"/>
            <w:szCs w:val="20"/>
          </w:rPr>
          <w:t>CCP § 1</w:t>
        </w:r>
      </w:hyperlink>
      <w:r>
        <w:rPr>
          <w:rFonts w:ascii="Times New Roman" w:hAnsi="Times New Roman" w:cs="Times New Roman"/>
          <w:color w:val="000000"/>
          <w:sz w:val="20"/>
          <w:szCs w:val="20"/>
        </w:rPr>
        <w:t xml:space="preserve"> </w:t>
      </w:r>
      <w:hyperlink r:id="rId22" w:history="1">
        <w:r>
          <w:rPr>
            <w:rFonts w:ascii="Times New Roman" w:hAnsi="Times New Roman" w:cs="Times New Roman"/>
            <w:color w:val="000000"/>
            <w:sz w:val="20"/>
            <w:szCs w:val="20"/>
          </w:rPr>
          <w:t>166</w:t>
        </w:r>
      </w:hyperlink>
      <w:r>
        <w:rPr>
          <w:rFonts w:ascii="Times New Roman" w:hAnsi="Times New Roman" w:cs="Times New Roman"/>
          <w:color w:val="000000"/>
          <w:sz w:val="20"/>
          <w:szCs w:val="20"/>
        </w:rPr>
        <w:t xml:space="preserve">(c) does not apply. By its very terms, the mandatory caption language of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1166(c) apply only to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actions based on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1161a.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Since plaintiffs</w:t>
      </w:r>
      <w:r>
        <w:rPr>
          <w:rFonts w:ascii="Times New Roman" w:hAnsi="Times New Roman" w:cs="Times New Roman"/>
          <w:color w:val="000000"/>
          <w:sz w:val="20"/>
          <w:szCs w:val="20"/>
        </w:rPr>
        <w:t xml:space="preserve"> are not basing their eviction on a foreclosure theory under that section, the mandatory language does not apply.</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before="400" w:line="240" w:lineRule="auto"/>
        <w:rPr>
          <w:rFonts w:ascii="Times New Roman" w:hAnsi="Times New Roman" w:cs="Times New Roman"/>
          <w:b/>
          <w:bCs/>
          <w:i/>
          <w:iCs/>
          <w:color w:val="000000"/>
          <w:sz w:val="20"/>
          <w:szCs w:val="20"/>
        </w:rPr>
      </w:pPr>
      <w:r>
        <w:rPr>
          <w:rFonts w:ascii="Times New Roman" w:hAnsi="Times New Roman" w:cs="Times New Roman"/>
          <w:b/>
          <w:bCs/>
          <w:color w:val="000000"/>
          <w:sz w:val="20"/>
          <w:szCs w:val="20"/>
        </w:rPr>
        <w:t xml:space="preserve">2. </w:t>
      </w:r>
      <w:r>
        <w:rPr>
          <w:rFonts w:ascii="Times New Roman" w:hAnsi="Times New Roman" w:cs="Times New Roman"/>
          <w:b/>
          <w:bCs/>
          <w:i/>
          <w:iCs/>
          <w:color w:val="000000"/>
          <w:sz w:val="20"/>
          <w:szCs w:val="20"/>
        </w:rPr>
        <w:t>Required Notice Period</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 next argues that the complaint is insufficient as it alleges only a 3 day notice to pay rent or quit rat</w:t>
      </w:r>
      <w:r>
        <w:rPr>
          <w:rFonts w:ascii="Times New Roman" w:hAnsi="Times New Roman" w:cs="Times New Roman"/>
          <w:color w:val="000000"/>
          <w:sz w:val="20"/>
          <w:szCs w:val="20"/>
        </w:rPr>
        <w:t>her than a federally mandated 90 day notice period under the Protecting Tenants in Foreclosure Act of 2009 (</w:t>
      </w:r>
      <w:r>
        <w:rPr>
          <w:rFonts w:ascii="Times New Roman" w:hAnsi="Times New Roman" w:cs="Times New Roman"/>
          <w:color w:val="000000"/>
          <w:sz w:val="20"/>
          <w:szCs w:val="20"/>
        </w:rPr>
        <w:t>“</w:t>
      </w:r>
      <w:r>
        <w:rPr>
          <w:rFonts w:ascii="Times New Roman" w:hAnsi="Times New Roman" w:cs="Times New Roman"/>
          <w:color w:val="000000"/>
          <w:sz w:val="20"/>
          <w:szCs w:val="20"/>
        </w:rPr>
        <w:t>PTFA</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hyperlink r:id="rId23" w:history="1">
        <w:r>
          <w:rPr>
            <w:rFonts w:ascii="Times New Roman" w:hAnsi="Times New Roman" w:cs="Times New Roman"/>
            <w:color w:val="000000"/>
            <w:sz w:val="20"/>
            <w:szCs w:val="20"/>
          </w:rPr>
          <w:t>12 U.S.C. § 5220</w:t>
        </w:r>
      </w:hyperlink>
      <w:r>
        <w:rPr>
          <w:rFonts w:ascii="Times New Roman" w:hAnsi="Times New Roman" w:cs="Times New Roman"/>
          <w:color w:val="000000"/>
          <w:sz w:val="20"/>
          <w:szCs w:val="20"/>
        </w:rPr>
        <w:t xml:space="preserve">. Plaintiff counters that only a 3 day notice is required in failure to pay rent cases under </w:t>
      </w:r>
      <w:hyperlink r:id="rId24" w:history="1">
        <w:r>
          <w:rPr>
            <w:rFonts w:ascii="Times New Roman" w:hAnsi="Times New Roman" w:cs="Times New Roman"/>
            <w:color w:val="000000"/>
            <w:sz w:val="20"/>
            <w:szCs w:val="20"/>
          </w:rPr>
          <w:t>§ 1161</w:t>
        </w:r>
      </w:hyperlink>
      <w:r>
        <w:rPr>
          <w:rFonts w:ascii="Times New Roman" w:hAnsi="Times New Roman" w:cs="Times New Roman"/>
          <w:color w:val="000000"/>
          <w:sz w:val="20"/>
          <w:szCs w:val="20"/>
        </w:rPr>
        <w:t>(2) and not th</w:t>
      </w:r>
      <w:r>
        <w:rPr>
          <w:rFonts w:ascii="Times New Roman" w:hAnsi="Times New Roman" w:cs="Times New Roman"/>
          <w:color w:val="000000"/>
          <w:sz w:val="20"/>
          <w:szCs w:val="20"/>
        </w:rPr>
        <w:t>e PTFA 90 day notice. The applicable provision of the PTFA states:</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the case of any foreclosure ... any immediate successor in interest in such property pursuant to the foreclosure shall assume such interest subject to:</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the provision, by such successor in interest of a notice to vacate to any bona fide tenant at least 90 days before the effective date of such notice; and</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proofErr w:type="gramStart"/>
      <w:r>
        <w:rPr>
          <w:rFonts w:ascii="Times New Roman" w:hAnsi="Times New Roman" w:cs="Times New Roman"/>
          <w:color w:val="000000"/>
          <w:sz w:val="20"/>
          <w:szCs w:val="20"/>
        </w:rPr>
        <w:t>the</w:t>
      </w:r>
      <w:proofErr w:type="gramEnd"/>
      <w:r>
        <w:rPr>
          <w:rFonts w:ascii="Times New Roman" w:hAnsi="Times New Roman" w:cs="Times New Roman"/>
          <w:color w:val="000000"/>
          <w:sz w:val="20"/>
          <w:szCs w:val="20"/>
        </w:rPr>
        <w:t xml:space="preserve"> rights of any bona fide tenant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 </w:t>
      </w:r>
      <w:proofErr w:type="gramStart"/>
      <w:r>
        <w:rPr>
          <w:rFonts w:ascii="Times New Roman" w:hAnsi="Times New Roman" w:cs="Times New Roman"/>
          <w:color w:val="000000"/>
          <w:sz w:val="20"/>
          <w:szCs w:val="20"/>
        </w:rPr>
        <w:t>under</w:t>
      </w:r>
      <w:proofErr w:type="gramEnd"/>
      <w:r>
        <w:rPr>
          <w:rFonts w:ascii="Times New Roman" w:hAnsi="Times New Roman" w:cs="Times New Roman"/>
          <w:color w:val="000000"/>
          <w:sz w:val="20"/>
          <w:szCs w:val="20"/>
        </w:rPr>
        <w:t xml:space="preserve"> any bona fide lease entered into before the</w:t>
      </w:r>
      <w:r>
        <w:rPr>
          <w:rFonts w:ascii="Times New Roman" w:hAnsi="Times New Roman" w:cs="Times New Roman"/>
          <w:color w:val="000000"/>
          <w:sz w:val="20"/>
          <w:szCs w:val="20"/>
        </w:rPr>
        <w:t xml:space="preserve"> notice of foreclosure to occupy the premises until the end of the remaining term of the lease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In simple terms, a foreclosing party must provide a bona fide tenant a minimum 90 day notice before termination of the tenancy and must honor any remain</w:t>
      </w:r>
      <w:r>
        <w:rPr>
          <w:rFonts w:ascii="Times New Roman" w:hAnsi="Times New Roman" w:cs="Times New Roman"/>
          <w:color w:val="000000"/>
          <w:sz w:val="20"/>
          <w:szCs w:val="20"/>
        </w:rPr>
        <w:t>ing term of a bona fide lease. Plaintiff concedes that the complaint alleges only a 3 day notice, but argues, in essence, that the 90 day PTFA notice is applicable only when a foreclosing party seeks to evict based on the eviction alone, and that plaintiff</w:t>
      </w:r>
      <w:r>
        <w:rPr>
          <w:rFonts w:ascii="Times New Roman" w:hAnsi="Times New Roman" w:cs="Times New Roman"/>
          <w:color w:val="000000"/>
          <w:sz w:val="20"/>
          <w:szCs w:val="20"/>
        </w:rPr>
        <w:t xml:space="preserve">s are not seeking eviction on that basis but rather on a failure to pay rent theory which requires only a 3 day notice pursuant to </w:t>
      </w:r>
      <w:hyperlink r:id="rId25" w:history="1">
        <w:r>
          <w:rPr>
            <w:rFonts w:ascii="Times New Roman" w:hAnsi="Times New Roman" w:cs="Times New Roman"/>
            <w:color w:val="000000"/>
            <w:sz w:val="20"/>
            <w:szCs w:val="20"/>
          </w:rPr>
          <w:t>§ 1161</w:t>
        </w:r>
      </w:hyperlink>
      <w:r>
        <w:rPr>
          <w:rFonts w:ascii="Times New Roman" w:hAnsi="Times New Roman" w:cs="Times New Roman"/>
          <w:color w:val="000000"/>
          <w:sz w:val="20"/>
          <w:szCs w:val="20"/>
        </w:rPr>
        <w:t xml:space="preserve">(2). Accepting this analysis, it is possible for a foreclosing party who would otherwise be barred from evicting a </w:t>
      </w:r>
      <w:r>
        <w:rPr>
          <w:rFonts w:ascii="Times New Roman" w:hAnsi="Times New Roman" w:cs="Times New Roman"/>
          <w:color w:val="000000"/>
          <w:sz w:val="20"/>
          <w:szCs w:val="20"/>
        </w:rPr>
        <w:t>tenant for 90 days, to be able to effectuate an eviction before the 90 day period if a tenant failed to pay rent within that time.</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Plaintiffs</w:t>
      </w:r>
      <w:proofErr w:type="gramEnd"/>
      <w:r>
        <w:rPr>
          <w:rFonts w:ascii="Times New Roman" w:hAnsi="Times New Roman" w:cs="Times New Roman"/>
          <w:color w:val="000000"/>
          <w:sz w:val="20"/>
          <w:szCs w:val="20"/>
        </w:rPr>
        <w:t xml:space="preserve"> theory reads into the PTFA something that it is silent on: a requirement that bona fide tenants continue to hono</w:t>
      </w:r>
      <w:r>
        <w:rPr>
          <w:rFonts w:ascii="Times New Roman" w:hAnsi="Times New Roman" w:cs="Times New Roman"/>
          <w:color w:val="000000"/>
          <w:sz w:val="20"/>
          <w:szCs w:val="20"/>
        </w:rPr>
        <w:t xml:space="preserve">r their rental obligations post foreclosure and that failure to do so gives rise to the right of the foreclosing party to evict the non-paying tenant. At first blush, </w:t>
      </w:r>
      <w:proofErr w:type="gramStart"/>
      <w:r>
        <w:rPr>
          <w:rFonts w:ascii="Times New Roman" w:hAnsi="Times New Roman" w:cs="Times New Roman"/>
          <w:color w:val="000000"/>
          <w:sz w:val="20"/>
          <w:szCs w:val="20"/>
        </w:rPr>
        <w:t>plaintiffs</w:t>
      </w:r>
      <w:proofErr w:type="gramEnd"/>
      <w:r>
        <w:rPr>
          <w:rFonts w:ascii="Times New Roman" w:hAnsi="Times New Roman" w:cs="Times New Roman"/>
          <w:color w:val="000000"/>
          <w:sz w:val="20"/>
          <w:szCs w:val="20"/>
        </w:rPr>
        <w:t xml:space="preserve"> theory that upon foreclosure they step into the shoes of the prior landlord an</w:t>
      </w:r>
      <w:r>
        <w:rPr>
          <w:rFonts w:ascii="Times New Roman" w:hAnsi="Times New Roman" w:cs="Times New Roman"/>
          <w:color w:val="000000"/>
          <w:sz w:val="20"/>
          <w:szCs w:val="20"/>
        </w:rPr>
        <w:t>d therefore assumes the right of the landlord to evict for failure to pay rent on a 3 day notice has persuasive appeal from both a common sense and fairness perspective. After all, since subsection (a</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2)(A) of the PTFA binds the foreclosing party to honor</w:t>
      </w:r>
      <w:r>
        <w:rPr>
          <w:rFonts w:ascii="Times New Roman" w:hAnsi="Times New Roman" w:cs="Times New Roman"/>
          <w:color w:val="000000"/>
          <w:sz w:val="20"/>
          <w:szCs w:val="20"/>
        </w:rPr>
        <w:t xml:space="preserve"> any remaining term of a prior bona fide lease agreement, it only makes sense to hold the tenant to their responsibilities under the same bona fide lease agreement, that is, the tenant is entitled to the remainder of his lease on the condition that he cont</w:t>
      </w:r>
      <w:r>
        <w:rPr>
          <w:rFonts w:ascii="Times New Roman" w:hAnsi="Times New Roman" w:cs="Times New Roman"/>
          <w:color w:val="000000"/>
          <w:sz w:val="20"/>
          <w:szCs w:val="20"/>
        </w:rPr>
        <w:t>inue to timely pay his rent as required by that lease. Without this implied corollary to PTFA (a)(2)(A), the landlord would be bound to allow the tenant to live out the remainder of the lease agreement rent free, which would be patently unjust. In acceptin</w:t>
      </w:r>
      <w:r>
        <w:rPr>
          <w:rFonts w:ascii="Times New Roman" w:hAnsi="Times New Roman" w:cs="Times New Roman"/>
          <w:color w:val="000000"/>
          <w:sz w:val="20"/>
          <w:szCs w:val="20"/>
        </w:rPr>
        <w:t>g the theory that the PTFA requires both parties to honor their respective responsibilities for the remainder of the lease, one should also logically accept the converse of that theory: if the tenant does not continue to pay the rent, the foreclosing party</w:t>
      </w:r>
      <w:r>
        <w:rPr>
          <w:rFonts w:ascii="Times New Roman" w:hAnsi="Times New Roman" w:cs="Times New Roman"/>
          <w:color w:val="000000"/>
          <w:sz w:val="20"/>
          <w:szCs w:val="20"/>
        </w:rPr>
        <w:t xml:space="preserve"> is relieved of his/her obligation to honor the remainder of the lease term and, as plaintiff urges, should be allowed to evict the non-paying tenant with a 3 day notice to pay rent or quit pursuant to </w:t>
      </w:r>
      <w:hyperlink r:id="rId26" w:history="1">
        <w:r>
          <w:rPr>
            <w:rFonts w:ascii="Times New Roman" w:hAnsi="Times New Roman" w:cs="Times New Roman"/>
            <w:color w:val="000000"/>
            <w:sz w:val="20"/>
            <w:szCs w:val="20"/>
          </w:rPr>
          <w:t>CCP § 1161</w:t>
        </w:r>
      </w:hyperlink>
      <w:r>
        <w:rPr>
          <w:rFonts w:ascii="Times New Roman" w:hAnsi="Times New Roman" w:cs="Times New Roman"/>
          <w:color w:val="000000"/>
          <w:sz w:val="20"/>
          <w:szCs w:val="20"/>
        </w:rPr>
        <w:t>(2).</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This Court agrees that even after</w:t>
      </w:r>
      <w:r>
        <w:rPr>
          <w:rFonts w:ascii="Times New Roman" w:hAnsi="Times New Roman" w:cs="Times New Roman"/>
          <w:color w:val="000000"/>
          <w:sz w:val="20"/>
          <w:szCs w:val="20"/>
        </w:rPr>
        <w:t xml:space="preserve"> foreclosure there is an ongoing duty of the tenant to pay the rent in order for him/her to invoke the PTFA protections for the remaining term of the lease agreement. This Court also agrees that the tenant’s failure to pay rent during the remaining lease p</w:t>
      </w:r>
      <w:r>
        <w:rPr>
          <w:rFonts w:ascii="Times New Roman" w:hAnsi="Times New Roman" w:cs="Times New Roman"/>
          <w:color w:val="000000"/>
          <w:sz w:val="20"/>
          <w:szCs w:val="20"/>
        </w:rPr>
        <w:t xml:space="preserve">eriod relieves the landlord of his/her obligation to honor the remaining balance and provides the foreclosing party with the remedy of eviction under </w:t>
      </w:r>
      <w:hyperlink r:id="rId27" w:history="1">
        <w:r>
          <w:rPr>
            <w:rFonts w:ascii="Times New Roman" w:hAnsi="Times New Roman" w:cs="Times New Roman"/>
            <w:color w:val="000000"/>
            <w:sz w:val="20"/>
            <w:szCs w:val="20"/>
          </w:rPr>
          <w:t>CCP § 1161</w:t>
        </w:r>
      </w:hyperlink>
      <w:r>
        <w:rPr>
          <w:rFonts w:ascii="Times New Roman" w:hAnsi="Times New Roman" w:cs="Times New Roman"/>
          <w:color w:val="000000"/>
          <w:sz w:val="20"/>
          <w:szCs w:val="20"/>
        </w:rPr>
        <w:t xml:space="preserve">, which requires only a 3 day notice. But how can this analysis </w:t>
      </w:r>
      <w:proofErr w:type="gramStart"/>
      <w:r>
        <w:rPr>
          <w:rFonts w:ascii="Times New Roman" w:hAnsi="Times New Roman" w:cs="Times New Roman"/>
          <w:color w:val="000000"/>
          <w:sz w:val="20"/>
          <w:szCs w:val="20"/>
        </w:rPr>
        <w:lastRenderedPageBreak/>
        <w:t>be</w:t>
      </w:r>
      <w:proofErr w:type="gramEnd"/>
      <w:r>
        <w:rPr>
          <w:rFonts w:ascii="Times New Roman" w:hAnsi="Times New Roman" w:cs="Times New Roman"/>
          <w:color w:val="000000"/>
          <w:sz w:val="20"/>
          <w:szCs w:val="20"/>
        </w:rPr>
        <w:t xml:space="preserve"> accorded with the 90 day </w:t>
      </w:r>
      <w:r>
        <w:rPr>
          <w:rFonts w:ascii="Times New Roman" w:hAnsi="Times New Roman" w:cs="Times New Roman"/>
          <w:color w:val="000000"/>
          <w:sz w:val="20"/>
          <w:szCs w:val="20"/>
        </w:rPr>
        <w:t>notice requirement under the PTFA? More specifically, does the 90 day notice still apply when the theory of eviction is failure to pay rent?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answer lies in a close examination of the specific language of the PTFA, which requires that </w:t>
      </w:r>
      <w:r>
        <w:rPr>
          <w:rFonts w:ascii="Times New Roman" w:hAnsi="Times New Roman" w:cs="Times New Roman"/>
          <w:color w:val="000000"/>
          <w:sz w:val="20"/>
          <w:szCs w:val="20"/>
        </w:rPr>
        <w:t>“</w:t>
      </w:r>
      <w:r>
        <w:rPr>
          <w:rFonts w:ascii="Times New Roman" w:hAnsi="Times New Roman" w:cs="Times New Roman"/>
          <w:color w:val="000000"/>
          <w:sz w:val="20"/>
          <w:szCs w:val="20"/>
        </w:rPr>
        <w:t>any immediate s</w:t>
      </w:r>
      <w:r>
        <w:rPr>
          <w:rFonts w:ascii="Times New Roman" w:hAnsi="Times New Roman" w:cs="Times New Roman"/>
          <w:color w:val="000000"/>
          <w:sz w:val="20"/>
          <w:szCs w:val="20"/>
        </w:rPr>
        <w:t xml:space="preserve">uccessor in interest in such property pursuant to the foreclosure shall assume </w:t>
      </w:r>
      <w:r>
        <w:rPr>
          <w:rFonts w:ascii="Times New Roman" w:hAnsi="Times New Roman" w:cs="Times New Roman"/>
          <w:i/>
          <w:iCs/>
          <w:color w:val="000000"/>
          <w:sz w:val="20"/>
          <w:szCs w:val="20"/>
        </w:rPr>
        <w:t>such interest</w:t>
      </w:r>
      <w:r>
        <w:rPr>
          <w:rFonts w:ascii="Times New Roman" w:hAnsi="Times New Roman" w:cs="Times New Roman"/>
          <w:color w:val="000000"/>
          <w:sz w:val="20"/>
          <w:szCs w:val="20"/>
        </w:rPr>
        <w:t xml:space="preserve"> subject to ... [providing to a bona fide tenant] a notice to vacate ... at least 90 days before the effective date of such notice ... (</w:t>
      </w:r>
      <w:r>
        <w:rPr>
          <w:rFonts w:ascii="Times New Roman" w:hAnsi="Times New Roman" w:cs="Times New Roman"/>
          <w:i/>
          <w:iCs/>
          <w:color w:val="000000"/>
          <w:sz w:val="20"/>
          <w:szCs w:val="20"/>
        </w:rPr>
        <w:t>emphasis</w:t>
      </w:r>
      <w:r>
        <w:rPr>
          <w:rFonts w:ascii="Times New Roman" w:hAnsi="Times New Roman" w:cs="Times New Roman"/>
          <w:color w:val="000000"/>
          <w:sz w:val="20"/>
          <w:szCs w:val="20"/>
        </w:rPr>
        <w:t xml:space="preserve"> added).</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Here, the </w:t>
      </w:r>
      <w:r>
        <w:rPr>
          <w:rFonts w:ascii="Times New Roman" w:hAnsi="Times New Roman" w:cs="Times New Roman"/>
          <w:color w:val="000000"/>
          <w:sz w:val="20"/>
          <w:szCs w:val="20"/>
        </w:rPr>
        <w:t xml:space="preserve">applicable </w:t>
      </w:r>
      <w:r>
        <w:rPr>
          <w:rFonts w:ascii="Times New Roman" w:hAnsi="Times New Roman" w:cs="Times New Roman"/>
          <w:color w:val="000000"/>
          <w:sz w:val="20"/>
          <w:szCs w:val="20"/>
        </w:rPr>
        <w:t>“</w:t>
      </w:r>
      <w:r>
        <w:rPr>
          <w:rFonts w:ascii="Times New Roman" w:hAnsi="Times New Roman" w:cs="Times New Roman"/>
          <w:color w:val="000000"/>
          <w:sz w:val="20"/>
          <w:szCs w:val="20"/>
        </w:rPr>
        <w:t>interest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assumed by plaintiff in this action was the prior landlord’s right to demand defendant to continue to pay his/her rent or be subject to eviction for failure to do so; however, that interest is subject to and conditioned upon plaintiff</w:t>
      </w:r>
      <w:r>
        <w:rPr>
          <w:rFonts w:ascii="Times New Roman" w:hAnsi="Times New Roman" w:cs="Times New Roman"/>
          <w:color w:val="000000"/>
          <w:sz w:val="20"/>
          <w:szCs w:val="20"/>
        </w:rPr>
        <w:t xml:space="preserve"> providing the tenant a notice to vacate </w:t>
      </w:r>
      <w:r>
        <w:rPr>
          <w:rFonts w:ascii="Times New Roman" w:hAnsi="Times New Roman" w:cs="Times New Roman"/>
          <w:color w:val="000000"/>
          <w:sz w:val="20"/>
          <w:szCs w:val="20"/>
        </w:rPr>
        <w:t>“</w:t>
      </w:r>
      <w:r>
        <w:rPr>
          <w:rFonts w:ascii="Times New Roman" w:hAnsi="Times New Roman" w:cs="Times New Roman"/>
          <w:color w:val="000000"/>
          <w:sz w:val="20"/>
          <w:szCs w:val="20"/>
        </w:rPr>
        <w:t>at least 90 days before the effective date of such notice.</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language of the PTFA is unequivocal in this regard; no matter what rights or </w:t>
      </w:r>
      <w:r>
        <w:rPr>
          <w:rFonts w:ascii="Times New Roman" w:hAnsi="Times New Roman" w:cs="Times New Roman"/>
          <w:color w:val="000000"/>
          <w:sz w:val="20"/>
          <w:szCs w:val="20"/>
        </w:rPr>
        <w:t>“</w:t>
      </w:r>
      <w:r>
        <w:rPr>
          <w:rFonts w:ascii="Times New Roman" w:hAnsi="Times New Roman" w:cs="Times New Roman"/>
          <w:color w:val="000000"/>
          <w:sz w:val="20"/>
          <w:szCs w:val="20"/>
        </w:rPr>
        <w:t>interest</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the foreclosing party assumes (including the right to evict fo</w:t>
      </w:r>
      <w:r>
        <w:rPr>
          <w:rFonts w:ascii="Times New Roman" w:hAnsi="Times New Roman" w:cs="Times New Roman"/>
          <w:color w:val="000000"/>
          <w:sz w:val="20"/>
          <w:szCs w:val="20"/>
        </w:rPr>
        <w:t>r non-payment of rent), it cannot evict without providing the minimum 90 day notice to bona fide tenants. In other words, it appears to this Court that the 90 day notice period is inviolable no matter what theory of eviction a foreclosing party has availab</w:t>
      </w:r>
      <w:r>
        <w:rPr>
          <w:rFonts w:ascii="Times New Roman" w:hAnsi="Times New Roman" w:cs="Times New Roman"/>
          <w:color w:val="000000"/>
          <w:sz w:val="20"/>
          <w:szCs w:val="20"/>
        </w:rPr>
        <w:t>le to it.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Plaintiffs argue that in applying the PTFA in this manner in the non-payment of rent context, it allows for tenants to live rent free for a minimum 90 days which cannot be the intention of that statute to allow for such an unjust result. Howeve</w:t>
      </w:r>
      <w:r>
        <w:rPr>
          <w:rFonts w:ascii="Times New Roman" w:hAnsi="Times New Roman" w:cs="Times New Roman"/>
          <w:color w:val="000000"/>
          <w:sz w:val="20"/>
          <w:szCs w:val="20"/>
        </w:rPr>
        <w:t xml:space="preserve">r, the 90 day PTFA notice period does not excuse the tenant from his/her rental obligations; it merely delays the remedy of eviction for a 90 day period. Following the 90 day notice, plaintiff is entitled to avail itself of all the rights and remedies the </w:t>
      </w:r>
      <w:r>
        <w:rPr>
          <w:rFonts w:ascii="Times New Roman" w:hAnsi="Times New Roman" w:cs="Times New Roman"/>
          <w:color w:val="000000"/>
          <w:sz w:val="20"/>
          <w:szCs w:val="20"/>
        </w:rPr>
        <w:t>prior landlord had to seek redress for the tenant’s failure to pay rent, including eviction and the awarding of back rent, and holdover damages for the 90 day period.</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Having found that the PTFA 90 day notice is applicable even in the failure to pay rent </w:t>
      </w:r>
      <w:r>
        <w:rPr>
          <w:rFonts w:ascii="Times New Roman" w:hAnsi="Times New Roman" w:cs="Times New Roman"/>
          <w:color w:val="000000"/>
          <w:sz w:val="20"/>
          <w:szCs w:val="20"/>
        </w:rPr>
        <w:t>context, defendant’s motion to quash service of the summons and complaint must be granted because the complaint fails to allege compliance with that statutory notice requirement.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before="40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 Defendant’s Motion for Sanctions and Attorney’s Fees</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Defendant seeks the</w:t>
      </w:r>
      <w:r>
        <w:rPr>
          <w:rFonts w:ascii="Times New Roman" w:hAnsi="Times New Roman" w:cs="Times New Roman"/>
          <w:color w:val="000000"/>
          <w:sz w:val="20"/>
          <w:szCs w:val="20"/>
        </w:rPr>
        <w:t xml:space="preserve"> award of sanctions under </w:t>
      </w:r>
      <w:hyperlink r:id="rId28" w:history="1">
        <w:r>
          <w:rPr>
            <w:rFonts w:ascii="Times New Roman" w:hAnsi="Times New Roman" w:cs="Times New Roman"/>
            <w:color w:val="000000"/>
            <w:sz w:val="20"/>
            <w:szCs w:val="20"/>
          </w:rPr>
          <w:t>CCP § 128.7</w:t>
        </w:r>
      </w:hyperlink>
      <w:r>
        <w:rPr>
          <w:rFonts w:ascii="Times New Roman" w:hAnsi="Times New Roman" w:cs="Times New Roman"/>
          <w:color w:val="000000"/>
          <w:sz w:val="20"/>
          <w:szCs w:val="20"/>
        </w:rPr>
        <w:t xml:space="preserve"> against plaintiff, alleging that their original complaint was frivolous and brought for an improper purpose.</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The issues raised by plaintiffs initial complaint are nearly identical to those rai</w:t>
      </w:r>
      <w:r>
        <w:rPr>
          <w:rFonts w:ascii="Times New Roman" w:hAnsi="Times New Roman" w:cs="Times New Roman"/>
          <w:color w:val="000000"/>
          <w:sz w:val="20"/>
          <w:szCs w:val="20"/>
        </w:rPr>
        <w:t>sed in their current First Amended Complaint, and the arguments submitted by both parties in attacking/defending the sufficiency of those complaints were equally as compelling for both sides. Indeed, at the February 6, 2012 hearing, this Court found in fav</w:t>
      </w:r>
      <w:r>
        <w:rPr>
          <w:rFonts w:ascii="Times New Roman" w:hAnsi="Times New Roman" w:cs="Times New Roman"/>
          <w:color w:val="000000"/>
          <w:sz w:val="20"/>
          <w:szCs w:val="20"/>
        </w:rPr>
        <w:t xml:space="preserve">or of the plaintiffs and denied defendant’s challenge to the initial complaint. The issues raised then and now appear to be ones of first impression, without controlling </w:t>
      </w:r>
      <w:proofErr w:type="spellStart"/>
      <w:r>
        <w:rPr>
          <w:rFonts w:ascii="Times New Roman" w:hAnsi="Times New Roman" w:cs="Times New Roman"/>
          <w:color w:val="000000"/>
          <w:sz w:val="20"/>
          <w:szCs w:val="20"/>
        </w:rPr>
        <w:t>caselaw</w:t>
      </w:r>
      <w:proofErr w:type="spellEnd"/>
      <w:r>
        <w:rPr>
          <w:rFonts w:ascii="Times New Roman" w:hAnsi="Times New Roman" w:cs="Times New Roman"/>
          <w:color w:val="000000"/>
          <w:sz w:val="20"/>
          <w:szCs w:val="20"/>
        </w:rPr>
        <w:t xml:space="preserve"> for either side. Given that the legal theory and positions taken by plaintiff </w:t>
      </w:r>
      <w:r>
        <w:rPr>
          <w:rFonts w:ascii="Times New Roman" w:hAnsi="Times New Roman" w:cs="Times New Roman"/>
          <w:color w:val="000000"/>
          <w:sz w:val="20"/>
          <w:szCs w:val="20"/>
        </w:rPr>
        <w:t xml:space="preserve">in both the initial and first amended complaints were non-frivolous, taken in good faith, and objectively reasonable, this Court finds absolutely no basis to award sanctions under </w:t>
      </w:r>
      <w:hyperlink r:id="rId29" w:history="1">
        <w:r>
          <w:rPr>
            <w:rFonts w:ascii="Times New Roman" w:hAnsi="Times New Roman" w:cs="Times New Roman"/>
            <w:color w:val="000000"/>
            <w:sz w:val="20"/>
            <w:szCs w:val="20"/>
          </w:rPr>
          <w:t>CCP § 128.7</w:t>
        </w:r>
      </w:hyperlink>
      <w:r>
        <w:rPr>
          <w:rFonts w:ascii="Times New Roman" w:hAnsi="Times New Roman" w:cs="Times New Roman"/>
          <w:color w:val="000000"/>
          <w:sz w:val="20"/>
          <w:szCs w:val="20"/>
        </w:rPr>
        <w: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IT IS HEREBY ORDERED THAT: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(1) Defendant’</w:t>
      </w:r>
      <w:r>
        <w:rPr>
          <w:rFonts w:ascii="Times New Roman" w:hAnsi="Times New Roman" w:cs="Times New Roman"/>
          <w:color w:val="000000"/>
          <w:sz w:val="20"/>
          <w:szCs w:val="20"/>
        </w:rPr>
        <w:t>s motion to quash service of summons and complaint is GRANTED; and</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(2) Defendant’s motion for sanctions is DENIED.</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March 7, 2012</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&lt;&lt;</w:t>
      </w:r>
      <w:proofErr w:type="gramStart"/>
      <w:r>
        <w:rPr>
          <w:rFonts w:ascii="Times New Roman" w:hAnsi="Times New Roman" w:cs="Times New Roman"/>
          <w:color w:val="000000"/>
          <w:sz w:val="20"/>
          <w:szCs w:val="20"/>
        </w:rPr>
        <w:t>signature</w:t>
      </w:r>
      <w:proofErr w:type="gramEnd"/>
      <w:r>
        <w:rPr>
          <w:rFonts w:ascii="Times New Roman" w:hAnsi="Times New Roman" w:cs="Times New Roman"/>
          <w:color w:val="000000"/>
          <w:sz w:val="20"/>
          <w:szCs w:val="20"/>
        </w:rPr>
        <w:t>&gt;&gt;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NON</w:t>
      </w:r>
      <w:proofErr w:type="gramEnd"/>
      <w:r>
        <w:rPr>
          <w:rFonts w:ascii="Times New Roman" w:hAnsi="Times New Roman" w:cs="Times New Roman"/>
          <w:color w:val="000000"/>
          <w:sz w:val="20"/>
          <w:szCs w:val="20"/>
        </w:rPr>
        <w:t>. LAWRENCE H. CHO</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Judge, Los Angeles County Superior Court</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000000">
        <w:tblPrEx>
          <w:tblCellMar>
            <w:top w:w="0" w:type="dxa"/>
            <w:left w:w="0" w:type="dxa"/>
            <w:bottom w:w="0" w:type="dxa"/>
            <w:right w:w="0" w:type="dxa"/>
          </w:tblCellMar>
        </w:tblPrEx>
        <w:tc>
          <w:tcPr>
            <w:tcW w:w="10080" w:type="dxa"/>
            <w:gridSpan w:val="2"/>
            <w:tcBorders>
              <w:top w:val="nil"/>
              <w:left w:val="nil"/>
              <w:bottom w:val="nil"/>
              <w:right w:val="nil"/>
            </w:tcBorders>
            <w:tcMar>
              <w:top w:w="200" w:type="dxa"/>
            </w:tcMar>
          </w:tcPr>
          <w:p w:rsidR="00000000" w:rsidRDefault="0013201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Footnotes</w:t>
            </w:r>
          </w:p>
        </w:tc>
      </w:tr>
      <w:tr w:rsidR="00000000">
        <w:tblPrEx>
          <w:tblCellMar>
            <w:top w:w="0" w:type="dxa"/>
            <w:left w:w="0" w:type="dxa"/>
            <w:bottom w:w="0" w:type="dxa"/>
            <w:right w:w="0" w:type="dxa"/>
          </w:tblCellMar>
        </w:tblPrEx>
        <w:tc>
          <w:tcPr>
            <w:tcW w:w="600" w:type="dxa"/>
            <w:tcBorders>
              <w:top w:val="nil"/>
              <w:left w:val="nil"/>
              <w:bottom w:val="nil"/>
              <w:right w:val="nil"/>
            </w:tcBorders>
          </w:tcPr>
          <w:p w:rsidR="00000000" w:rsidRDefault="0013201B">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w:t>
            </w:r>
          </w:p>
        </w:tc>
        <w:tc>
          <w:tcPr>
            <w:tcW w:w="9480" w:type="dxa"/>
            <w:tcBorders>
              <w:top w:val="nil"/>
              <w:left w:val="nil"/>
              <w:bottom w:val="nil"/>
              <w:right w:val="nil"/>
            </w:tcBorders>
          </w:tcPr>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Defendant had filed a si</w:t>
            </w:r>
            <w:r>
              <w:rPr>
                <w:rFonts w:ascii="Times New Roman" w:hAnsi="Times New Roman" w:cs="Times New Roman"/>
                <w:color w:val="000000"/>
                <w:sz w:val="18"/>
                <w:szCs w:val="18"/>
              </w:rPr>
              <w:t xml:space="preserve">milar challenge to </w:t>
            </w:r>
            <w:proofErr w:type="gramStart"/>
            <w:r>
              <w:rPr>
                <w:rFonts w:ascii="Times New Roman" w:hAnsi="Times New Roman" w:cs="Times New Roman"/>
                <w:color w:val="000000"/>
                <w:sz w:val="18"/>
                <w:szCs w:val="18"/>
              </w:rPr>
              <w:t>plaintiffs</w:t>
            </w:r>
            <w:proofErr w:type="gramEnd"/>
            <w:r>
              <w:rPr>
                <w:rFonts w:ascii="Times New Roman" w:hAnsi="Times New Roman" w:cs="Times New Roman"/>
                <w:color w:val="000000"/>
                <w:sz w:val="18"/>
                <w:szCs w:val="18"/>
              </w:rPr>
              <w:t xml:space="preserve"> initial complaint, which was heard and denied by this Court on February 6, 2012. Defendant also seeks sanctions against plaintiff for the filing of that initial complaint, which is denied for the reasons set forth below.</w:t>
            </w:r>
          </w:p>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18"/>
                <w:szCs w:val="18"/>
              </w:rPr>
            </w:pPr>
          </w:p>
        </w:tc>
      </w:tr>
    </w:tbl>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000000">
        <w:tblPrEx>
          <w:tblCellMar>
            <w:top w:w="0" w:type="dxa"/>
            <w:left w:w="0" w:type="dxa"/>
            <w:bottom w:w="0" w:type="dxa"/>
            <w:right w:w="0" w:type="dxa"/>
          </w:tblCellMar>
        </w:tblPrEx>
        <w:tc>
          <w:tcPr>
            <w:tcW w:w="4320" w:type="dxa"/>
            <w:tcBorders>
              <w:top w:val="single" w:sz="4" w:space="0" w:color="777777"/>
              <w:left w:val="nil"/>
              <w:bottom w:val="nil"/>
              <w:right w:val="nil"/>
            </w:tcBorders>
            <w:tcMar>
              <w:top w:w="100" w:type="dxa"/>
              <w:left w:w="24" w:type="dxa"/>
              <w:right w:w="24" w:type="dxa"/>
            </w:tcMar>
          </w:tcPr>
          <w:p w:rsidR="00000000" w:rsidRDefault="0013201B">
            <w:pPr>
              <w:widowControl w:val="0"/>
              <w:autoSpaceDE w:val="0"/>
              <w:autoSpaceDN w:val="0"/>
              <w:adjustRightInd w:val="0"/>
              <w:spacing w:after="0" w:line="240" w:lineRule="auto"/>
              <w:ind w:left="24" w:right="24"/>
              <w:rPr>
                <w:rFonts w:ascii="Times New Roman" w:hAnsi="Times New Roman" w:cs="Times New Roman"/>
                <w:b/>
                <w:bCs/>
                <w:color w:val="777777"/>
                <w:sz w:val="16"/>
                <w:szCs w:val="16"/>
              </w:rPr>
            </w:pPr>
            <w:r>
              <w:rPr>
                <w:rFonts w:ascii="Times New Roman" w:hAnsi="Times New Roman" w:cs="Times New Roman"/>
                <w:b/>
                <w:bCs/>
                <w:color w:val="777777"/>
                <w:sz w:val="16"/>
                <w:szCs w:val="16"/>
              </w:rPr>
              <w:t>End of Document</w:t>
            </w:r>
          </w:p>
        </w:tc>
        <w:tc>
          <w:tcPr>
            <w:tcW w:w="5760" w:type="dxa"/>
            <w:tcBorders>
              <w:top w:val="single" w:sz="4" w:space="0" w:color="777777"/>
              <w:left w:val="nil"/>
              <w:bottom w:val="nil"/>
              <w:right w:val="nil"/>
            </w:tcBorders>
            <w:tcMar>
              <w:top w:w="100" w:type="dxa"/>
              <w:left w:w="24" w:type="dxa"/>
              <w:right w:w="24" w:type="dxa"/>
            </w:tcMar>
          </w:tcPr>
          <w:p w:rsidR="00000000" w:rsidRDefault="0013201B">
            <w:pPr>
              <w:widowControl w:val="0"/>
              <w:autoSpaceDE w:val="0"/>
              <w:autoSpaceDN w:val="0"/>
              <w:adjustRightInd w:val="0"/>
              <w:spacing w:after="0" w:line="240" w:lineRule="auto"/>
              <w:ind w:left="24" w:right="24"/>
              <w:jc w:val="right"/>
              <w:rPr>
                <w:rFonts w:ascii="Times New Roman" w:hAnsi="Times New Roman" w:cs="Times New Roman"/>
                <w:color w:val="777777"/>
                <w:sz w:val="16"/>
                <w:szCs w:val="16"/>
              </w:rPr>
            </w:pPr>
            <w:r>
              <w:rPr>
                <w:rFonts w:ascii="Times New Roman" w:hAnsi="Times New Roman" w:cs="Times New Roman"/>
                <w:color w:val="777777"/>
                <w:sz w:val="16"/>
                <w:szCs w:val="16"/>
              </w:rPr>
              <w:t>©</w:t>
            </w:r>
            <w:r>
              <w:rPr>
                <w:rFonts w:ascii="Times New Roman" w:hAnsi="Times New Roman" w:cs="Times New Roman"/>
                <w:color w:val="777777"/>
                <w:sz w:val="16"/>
                <w:szCs w:val="16"/>
              </w:rPr>
              <w:t xml:space="preserve"> 2013 Thomson Reuters. No claim to original U.S. Government Works.</w:t>
            </w:r>
          </w:p>
        </w:tc>
      </w:tr>
    </w:tbl>
    <w:p w:rsidR="00000000" w:rsidRDefault="0013201B">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13201B" w:rsidRDefault="0013201B">
      <w:pPr>
        <w:widowControl w:val="0"/>
        <w:autoSpaceDE w:val="0"/>
        <w:autoSpaceDN w:val="0"/>
        <w:adjustRightInd w:val="0"/>
        <w:spacing w:after="0" w:line="240" w:lineRule="auto"/>
        <w:rPr>
          <w:rFonts w:ascii="Arial" w:hAnsi="Arial" w:cs="Arial"/>
          <w:sz w:val="24"/>
          <w:szCs w:val="24"/>
        </w:rPr>
      </w:pPr>
    </w:p>
    <w:sectPr w:rsidR="0013201B">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1B" w:rsidRDefault="0013201B">
      <w:pPr>
        <w:spacing w:after="0" w:line="240" w:lineRule="auto"/>
      </w:pPr>
      <w:r>
        <w:separator/>
      </w:r>
    </w:p>
  </w:endnote>
  <w:endnote w:type="continuationSeparator" w:id="0">
    <w:p w:rsidR="0013201B" w:rsidRDefault="0013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00"/>
      <w:gridCol w:w="700"/>
    </w:tblGrid>
    <w:tr w:rsidR="00000000">
      <w:tblPrEx>
        <w:tblCellMar>
          <w:top w:w="0" w:type="dxa"/>
          <w:left w:w="0" w:type="dxa"/>
          <w:bottom w:w="0" w:type="dxa"/>
          <w:right w:w="0" w:type="dxa"/>
        </w:tblCellMar>
      </w:tblPrEx>
      <w:tc>
        <w:tcPr>
          <w:tcW w:w="9300" w:type="dxa"/>
          <w:tcBorders>
            <w:top w:val="single" w:sz="8" w:space="0" w:color="AAAAAA"/>
            <w:left w:val="nil"/>
            <w:bottom w:val="nil"/>
            <w:right w:val="nil"/>
          </w:tcBorders>
          <w:tcMar>
            <w:top w:w="60" w:type="dxa"/>
          </w:tcMar>
          <w:vAlign w:val="bottom"/>
        </w:tcPr>
        <w:p w:rsidR="00000000" w:rsidRDefault="00386814">
          <w:pPr>
            <w:widowControl w:val="0"/>
            <w:autoSpaceDE w:val="0"/>
            <w:autoSpaceDN w:val="0"/>
            <w:adjustRightInd w:val="0"/>
            <w:spacing w:after="0" w:line="240" w:lineRule="auto"/>
            <w:rPr>
              <w:rFonts w:ascii="Arial" w:hAnsi="Arial" w:cs="Arial"/>
              <w:color w:val="AAAAAA"/>
              <w:sz w:val="20"/>
              <w:szCs w:val="20"/>
            </w:rPr>
          </w:pPr>
          <w:r>
            <w:rPr>
              <w:rFonts w:ascii="Arial" w:hAnsi="Arial" w:cs="Arial"/>
              <w:noProof/>
              <w:color w:val="AAAAAA"/>
              <w:sz w:val="20"/>
              <w:szCs w:val="20"/>
            </w:rPr>
            <w:drawing>
              <wp:inline distT="0" distB="0" distL="0" distR="0">
                <wp:extent cx="74295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5250"/>
                        </a:xfrm>
                        <a:prstGeom prst="rect">
                          <a:avLst/>
                        </a:prstGeom>
                        <a:noFill/>
                        <a:ln>
                          <a:noFill/>
                        </a:ln>
                      </pic:spPr>
                    </pic:pic>
                  </a:graphicData>
                </a:graphic>
              </wp:inline>
            </w:drawing>
          </w:r>
          <w:r w:rsidR="0013201B">
            <w:rPr>
              <w:rFonts w:ascii="Arial" w:hAnsi="Arial" w:cs="Arial"/>
              <w:color w:val="AAAAAA"/>
              <w:sz w:val="20"/>
              <w:szCs w:val="20"/>
            </w:rPr>
            <w:t xml:space="preserve"> </w:t>
          </w:r>
          <w:r w:rsidR="0013201B">
            <w:rPr>
              <w:rFonts w:ascii="Arial" w:hAnsi="Arial" w:cs="Arial"/>
              <w:color w:val="AAAAAA"/>
              <w:sz w:val="20"/>
              <w:szCs w:val="20"/>
            </w:rPr>
            <w:t>©</w:t>
          </w:r>
          <w:r w:rsidR="0013201B">
            <w:rPr>
              <w:rFonts w:ascii="Arial" w:hAnsi="Arial" w:cs="Arial"/>
              <w:color w:val="AAAAAA"/>
              <w:sz w:val="20"/>
              <w:szCs w:val="20"/>
            </w:rPr>
            <w:t xml:space="preserve"> 2013 Thomson Reuters. No claim to original U.S. Government Works.</w:t>
          </w:r>
        </w:p>
      </w:tc>
      <w:tc>
        <w:tcPr>
          <w:tcW w:w="700" w:type="dxa"/>
          <w:tcBorders>
            <w:top w:val="single" w:sz="8" w:space="0" w:color="AAAAAA"/>
            <w:left w:val="nil"/>
            <w:bottom w:val="nil"/>
            <w:right w:val="nil"/>
          </w:tcBorders>
          <w:tcMar>
            <w:top w:w="60" w:type="dxa"/>
          </w:tcMar>
        </w:tcPr>
        <w:p w:rsidR="00000000" w:rsidRDefault="0013201B">
          <w:pPr>
            <w:widowControl w:val="0"/>
            <w:autoSpaceDE w:val="0"/>
            <w:autoSpaceDN w:val="0"/>
            <w:adjustRightInd w:val="0"/>
            <w:spacing w:after="0" w:line="240" w:lineRule="auto"/>
            <w:jc w:val="right"/>
            <w:rPr>
              <w:rFonts w:ascii="Arial" w:hAnsi="Arial" w:cs="Arial"/>
              <w:color w:val="AAAAAA"/>
              <w:sz w:val="20"/>
              <w:szCs w:val="20"/>
            </w:rPr>
          </w:pPr>
          <w:r>
            <w:rPr>
              <w:rFonts w:ascii="Arial" w:hAnsi="Arial" w:cs="Arial"/>
              <w:color w:val="AAAAAA"/>
              <w:sz w:val="20"/>
              <w:szCs w:val="20"/>
            </w:rPr>
            <w:pgNum/>
          </w:r>
        </w:p>
      </w:tc>
    </w:tr>
  </w:tbl>
  <w:p w:rsidR="00000000" w:rsidRDefault="0013201B">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1B" w:rsidRDefault="0013201B">
      <w:pPr>
        <w:spacing w:after="0" w:line="240" w:lineRule="auto"/>
      </w:pPr>
      <w:r>
        <w:separator/>
      </w:r>
    </w:p>
  </w:footnote>
  <w:footnote w:type="continuationSeparator" w:id="0">
    <w:p w:rsidR="0013201B" w:rsidRDefault="0013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380"/>
      <w:gridCol w:w="700"/>
    </w:tblGrid>
    <w:tr w:rsidR="00000000">
      <w:tblPrEx>
        <w:tblCellMar>
          <w:top w:w="0" w:type="dxa"/>
          <w:left w:w="0" w:type="dxa"/>
          <w:bottom w:w="0" w:type="dxa"/>
          <w:right w:w="0" w:type="dxa"/>
        </w:tblCellMar>
      </w:tblPrEx>
      <w:tc>
        <w:tcPr>
          <w:tcW w:w="9380" w:type="dxa"/>
          <w:tcBorders>
            <w:top w:val="nil"/>
            <w:left w:val="nil"/>
            <w:bottom w:val="single" w:sz="8" w:space="0" w:color="AAAAAA"/>
            <w:right w:val="nil"/>
          </w:tcBorders>
          <w:tcMar>
            <w:top w:w="400" w:type="dxa"/>
            <w:bottom w:w="60" w:type="dxa"/>
          </w:tcMar>
          <w:vAlign w:val="bottom"/>
        </w:tcPr>
        <w:p w:rsidR="00000000" w:rsidRDefault="0013201B" w:rsidP="00C30F16">
          <w:pPr>
            <w:widowControl w:val="0"/>
            <w:autoSpaceDE w:val="0"/>
            <w:autoSpaceDN w:val="0"/>
            <w:adjustRightInd w:val="0"/>
            <w:spacing w:after="0" w:line="240" w:lineRule="auto"/>
            <w:rPr>
              <w:rFonts w:ascii="Arial" w:hAnsi="Arial" w:cs="Arial"/>
              <w:color w:val="000000"/>
              <w:sz w:val="18"/>
              <w:szCs w:val="18"/>
            </w:rPr>
          </w:pPr>
          <w:r>
            <w:rPr>
              <w:rFonts w:ascii="Arial" w:hAnsi="Arial" w:cs="Arial"/>
              <w:b/>
              <w:bCs/>
              <w:color w:val="555555"/>
              <w:sz w:val="18"/>
              <w:szCs w:val="18"/>
            </w:rPr>
            <w:t>Mortgage v.</w:t>
          </w:r>
          <w:r w:rsidR="00C30F16">
            <w:rPr>
              <w:rFonts w:ascii="Arial" w:hAnsi="Arial" w:cs="Arial"/>
              <w:b/>
              <w:bCs/>
              <w:color w:val="555555"/>
              <w:sz w:val="18"/>
              <w:szCs w:val="18"/>
            </w:rPr>
            <w:t xml:space="preserve"> KS</w:t>
          </w:r>
          <w:r>
            <w:rPr>
              <w:rFonts w:ascii="Arial" w:hAnsi="Arial" w:cs="Arial"/>
              <w:b/>
              <w:bCs/>
              <w:color w:val="555555"/>
              <w:sz w:val="18"/>
              <w:szCs w:val="18"/>
            </w:rPr>
            <w:t>, 2012 WL 845508 (2012)</w:t>
          </w:r>
        </w:p>
      </w:tc>
      <w:tc>
        <w:tcPr>
          <w:tcW w:w="700" w:type="dxa"/>
          <w:tcBorders>
            <w:top w:val="nil"/>
            <w:left w:val="nil"/>
            <w:bottom w:val="single" w:sz="8" w:space="0" w:color="AAAAAA"/>
            <w:right w:val="nil"/>
          </w:tcBorders>
          <w:tcMar>
            <w:top w:w="400" w:type="dxa"/>
            <w:bottom w:w="60" w:type="dxa"/>
          </w:tcMar>
        </w:tcPr>
        <w:p w:rsidR="00000000" w:rsidRDefault="0013201B">
          <w:pPr>
            <w:widowControl w:val="0"/>
            <w:autoSpaceDE w:val="0"/>
            <w:autoSpaceDN w:val="0"/>
            <w:adjustRightInd w:val="0"/>
            <w:spacing w:after="0" w:line="240" w:lineRule="auto"/>
            <w:jc w:val="right"/>
            <w:rPr>
              <w:rFonts w:ascii="Arial" w:hAnsi="Arial" w:cs="Arial"/>
              <w:color w:val="000000"/>
              <w:sz w:val="18"/>
              <w:szCs w:val="18"/>
            </w:rPr>
          </w:pPr>
        </w:p>
      </w:tc>
    </w:tr>
    <w:tr w:rsidR="00000000">
      <w:tblPrEx>
        <w:tblCellMar>
          <w:top w:w="0" w:type="dxa"/>
          <w:left w:w="0" w:type="dxa"/>
          <w:bottom w:w="0" w:type="dxa"/>
          <w:right w:w="0" w:type="dxa"/>
        </w:tblCellMar>
      </w:tblPrEx>
      <w:tc>
        <w:tcPr>
          <w:tcW w:w="10080" w:type="dxa"/>
          <w:gridSpan w:val="2"/>
          <w:tcBorders>
            <w:top w:val="nil"/>
            <w:left w:val="nil"/>
            <w:bottom w:val="nil"/>
            <w:right w:val="nil"/>
          </w:tcBorders>
        </w:tcPr>
        <w:p w:rsidR="00000000" w:rsidRDefault="0013201B">
          <w:pPr>
            <w:widowControl w:val="0"/>
            <w:autoSpaceDE w:val="0"/>
            <w:autoSpaceDN w:val="0"/>
            <w:adjustRightInd w:val="0"/>
            <w:spacing w:after="0" w:line="240" w:lineRule="auto"/>
            <w:rPr>
              <w:rFonts w:ascii="Arial" w:hAnsi="Arial" w:cs="Arial"/>
              <w:color w:val="000000"/>
              <w:sz w:val="18"/>
              <w:szCs w:val="18"/>
            </w:rPr>
          </w:pPr>
        </w:p>
      </w:tc>
    </w:tr>
  </w:tbl>
  <w:p w:rsidR="00000000" w:rsidRDefault="0013201B">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14"/>
    <w:rsid w:val="0013201B"/>
    <w:rsid w:val="00386814"/>
    <w:rsid w:val="00C30F16"/>
    <w:rsid w:val="00E6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47"/>
    <w:rPr>
      <w:rFonts w:ascii="Tahoma" w:hAnsi="Tahoma" w:cs="Tahoma"/>
      <w:sz w:val="16"/>
      <w:szCs w:val="16"/>
    </w:rPr>
  </w:style>
  <w:style w:type="paragraph" w:styleId="Header">
    <w:name w:val="header"/>
    <w:basedOn w:val="Normal"/>
    <w:link w:val="HeaderChar"/>
    <w:uiPriority w:val="99"/>
    <w:unhideWhenUsed/>
    <w:rsid w:val="00C3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F16"/>
  </w:style>
  <w:style w:type="paragraph" w:styleId="Footer">
    <w:name w:val="footer"/>
    <w:basedOn w:val="Normal"/>
    <w:link w:val="FooterChar"/>
    <w:uiPriority w:val="99"/>
    <w:unhideWhenUsed/>
    <w:rsid w:val="00C3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47"/>
    <w:rPr>
      <w:rFonts w:ascii="Tahoma" w:hAnsi="Tahoma" w:cs="Tahoma"/>
      <w:sz w:val="16"/>
      <w:szCs w:val="16"/>
    </w:rPr>
  </w:style>
  <w:style w:type="paragraph" w:styleId="Header">
    <w:name w:val="header"/>
    <w:basedOn w:val="Normal"/>
    <w:link w:val="HeaderChar"/>
    <w:uiPriority w:val="99"/>
    <w:unhideWhenUsed/>
    <w:rsid w:val="00C30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F16"/>
  </w:style>
  <w:style w:type="paragraph" w:styleId="Footer">
    <w:name w:val="footer"/>
    <w:basedOn w:val="Normal"/>
    <w:link w:val="FooterChar"/>
    <w:uiPriority w:val="99"/>
    <w:unhideWhenUsed/>
    <w:rsid w:val="00C30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law.com/Link/Document/FullText?findType=L&amp;pubNum=1000201&amp;cite=CACPS1&amp;originatingDoc=I8f38a1fc6e8311e1be29b2facdefeebe&amp;refType=LQ&amp;originationContext=document&amp;vr=3.0&amp;rs=cblt1.0&amp;transitionType=DocumentItem&amp;contextData=(sc.Search)" TargetMode="External"/><Relationship Id="rId18" Type="http://schemas.openxmlformats.org/officeDocument/2006/relationships/hyperlink" Target="http://www.westlaw.com/Link/Document/FullText?findType=L&amp;pubNum=1000298&amp;cite=CACPS1&amp;originatingDoc=I8f38a1fc6e8311e1be29b2facdefeebe&amp;refType=LQ&amp;originationContext=document&amp;vr=3.0&amp;rs=cblt1.0&amp;transitionType=DocumentItem&amp;contextData=(sc.Search)" TargetMode="External"/><Relationship Id="rId26" Type="http://schemas.openxmlformats.org/officeDocument/2006/relationships/hyperlink" Target="http://www.westlaw.com/Link/Document/FullText?findType=L&amp;pubNum=1000201&amp;cite=CACPS1161&amp;originatingDoc=I8f38a1fc6e8311e1be29b2facdefeebe&amp;refType=LQ&amp;originationContext=document&amp;vr=3.0&amp;rs=cblt1.0&amp;transitionType=DocumentItem&amp;contextData=(sc.Search)" TargetMode="External"/><Relationship Id="rId3" Type="http://schemas.openxmlformats.org/officeDocument/2006/relationships/settings" Target="settings.xml"/><Relationship Id="rId21" Type="http://schemas.openxmlformats.org/officeDocument/2006/relationships/hyperlink" Target="http://www.westlaw.com/Link/Document/FullText?findType=L&amp;pubNum=1000201&amp;cite=CACPS1&amp;originatingDoc=I8f38a1fc6e8311e1be29b2facdefeebe&amp;refType=LQ&amp;originationContext=document&amp;vr=3.0&amp;rs=cblt1.0&amp;transitionType=DocumentItem&amp;contextData=(sc.Search)" TargetMode="External"/><Relationship Id="rId7" Type="http://schemas.openxmlformats.org/officeDocument/2006/relationships/header" Target="header1.xml"/><Relationship Id="rId12" Type="http://schemas.openxmlformats.org/officeDocument/2006/relationships/hyperlink" Target="http://www.westlaw.com/Link/Document/FullText?findType=L&amp;pubNum=1000201&amp;cite=CACPS66&amp;originatingDoc=I8f38a1fc6e8311e1be29b2facdefeebe&amp;refType=LQ&amp;originationContext=document&amp;vr=3.0&amp;rs=cblt1.0&amp;transitionType=DocumentItem&amp;contextData=(sc.Search)" TargetMode="External"/><Relationship Id="rId17" Type="http://schemas.openxmlformats.org/officeDocument/2006/relationships/hyperlink" Target="http://www.westlaw.com/Link/Document/FullText?findType=L&amp;pubNum=1000201&amp;cite=CACPS16&amp;originatingDoc=I8f38a1fc6e8311e1be29b2facdefeebe&amp;refType=LQ&amp;originationContext=document&amp;vr=3.0&amp;rs=cblt1.0&amp;transitionType=DocumentItem&amp;contextData=(sc.Search)" TargetMode="External"/><Relationship Id="rId25" Type="http://schemas.openxmlformats.org/officeDocument/2006/relationships/hyperlink" Target="http://www.westlaw.com/Link/Document/FullText?findType=L&amp;pubNum=1000201&amp;cite=CACPS1161&amp;originatingDoc=I8f38a1fc6e8311e1be29b2facdefeebe&amp;refType=LQ&amp;originationContext=document&amp;vr=3.0&amp;rs=cblt1.0&amp;transitionType=DocumentItem&amp;contextData=(sc.Search)" TargetMode="External"/><Relationship Id="rId2" Type="http://schemas.microsoft.com/office/2007/relationships/stylesWithEffects" Target="stylesWithEffects.xml"/><Relationship Id="rId16" Type="http://schemas.openxmlformats.org/officeDocument/2006/relationships/hyperlink" Target="http://www.westlaw.com/Link/Document/FullText?findType=L&amp;pubNum=1000201&amp;cite=CACPS1&amp;originatingDoc=I8f38a1fc6e8311e1be29b2facdefeebe&amp;refType=LQ&amp;originationContext=document&amp;vr=3.0&amp;rs=cblt1.0&amp;transitionType=DocumentItem&amp;contextData=(sc.Search)" TargetMode="External"/><Relationship Id="rId20" Type="http://schemas.openxmlformats.org/officeDocument/2006/relationships/hyperlink" Target="http://www.westlaw.com/Link/Document/FullText?findType=L&amp;pubNum=1000201&amp;cite=CACPS1&amp;originatingDoc=I8f38a1fc6e8311e1be29b2facdefeebe&amp;refType=LQ&amp;originationContext=document&amp;vr=3.0&amp;rs=cblt1.0&amp;transitionType=DocumentItem&amp;contextData=(sc.Search)" TargetMode="External"/><Relationship Id="rId29" Type="http://schemas.openxmlformats.org/officeDocument/2006/relationships/hyperlink" Target="http://www.westlaw.com/Link/Document/FullText?findType=L&amp;pubNum=1000201&amp;cite=CACPS128.7&amp;originatingDoc=I8f38a1fc6e8311e1be29b2facdefeebe&amp;refType=LQ&amp;originationContext=document&amp;vr=3.0&amp;rs=cblt1.0&amp;transitionType=DocumentItem&amp;contextData=(sc.Searc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stlaw.com/Link/Document/FullText?findType=L&amp;pubNum=1000201&amp;cite=CACPS11&amp;originatingDoc=I8f38a1fc6e8311e1be29b2facdefeebe&amp;refType=LQ&amp;originationContext=document&amp;vr=3.0&amp;rs=cblt1.0&amp;transitionType=DocumentItem&amp;contextData=(sc.Search)" TargetMode="External"/><Relationship Id="rId24" Type="http://schemas.openxmlformats.org/officeDocument/2006/relationships/hyperlink" Target="http://www.westlaw.com/Link/Document/FullText?findType=L&amp;pubNum=1000201&amp;cite=CACPS1161&amp;originatingDoc=I8f38a1fc6e8311e1be29b2facdefeebe&amp;refType=LQ&amp;originationContext=document&amp;vr=3.0&amp;rs=cblt1.0&amp;transitionType=DocumentItem&amp;contextData=(sc.Search)" TargetMode="External"/><Relationship Id="rId5" Type="http://schemas.openxmlformats.org/officeDocument/2006/relationships/footnotes" Target="footnotes.xml"/><Relationship Id="rId15" Type="http://schemas.openxmlformats.org/officeDocument/2006/relationships/hyperlink" Target="http://www.westlaw.com/Link/Document/FullText?findType=L&amp;pubNum=1000201&amp;cite=CACPS1&amp;originatingDoc=I8f38a1fc6e8311e1be29b2facdefeebe&amp;refType=LQ&amp;originationContext=document&amp;vr=3.0&amp;rs=cblt1.0&amp;transitionType=DocumentItem&amp;contextData=(sc.Search)" TargetMode="External"/><Relationship Id="rId23" Type="http://schemas.openxmlformats.org/officeDocument/2006/relationships/hyperlink" Target="http://www.westlaw.com/Link/Document/FullText?findType=L&amp;pubNum=1000546&amp;cite=12USCAS5220&amp;originatingDoc=I8f38a1fc6e8311e1be29b2facdefeebe&amp;refType=LQ&amp;originationContext=document&amp;vr=3.0&amp;rs=cblt1.0&amp;transitionType=DocumentItem&amp;contextData=(sc.Search)" TargetMode="External"/><Relationship Id="rId28" Type="http://schemas.openxmlformats.org/officeDocument/2006/relationships/hyperlink" Target="http://www.westlaw.com/Link/Document/FullText?findType=L&amp;pubNum=1000201&amp;cite=CACPS128.7&amp;originatingDoc=I8f38a1fc6e8311e1be29b2facdefeebe&amp;refType=LQ&amp;originationContext=document&amp;vr=3.0&amp;rs=cblt1.0&amp;transitionType=DocumentItem&amp;contextData=(sc.Search)" TargetMode="External"/><Relationship Id="rId10" Type="http://schemas.openxmlformats.org/officeDocument/2006/relationships/hyperlink" Target="http://www.westlaw.com/Link/Document/FullText?findType=Y&amp;serNum=1983142381&amp;pubNum=226&amp;originationContext=document&amp;vr=3.0&amp;rs=cblt1.0&amp;transitionType=DocumentItem&amp;contextData=(sc.Search)#co_pp_sp_226_1036" TargetMode="External"/><Relationship Id="rId19" Type="http://schemas.openxmlformats.org/officeDocument/2006/relationships/hyperlink" Target="http://www.westlaw.com/Link/Document/FullText?findType=L&amp;pubNum=1000201&amp;cite=CACPS1161&amp;originatingDoc=I8f38a1fc6e8311e1be29b2facdefeebe&amp;refType=LQ&amp;originationContext=document&amp;vr=3.0&amp;rs=cblt1.0&amp;transitionType=DocumentItem&amp;contextData=(sc.Search)"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estlaw.com/Link/Document/FullText?findType=h&amp;pubNum=176284&amp;cite=0142675201&amp;originatingDoc=I8f38a1fc6e8311e1be29b2facdefeebe&amp;refType=RQ&amp;originationContext=document&amp;vr=3.0&amp;rs=cblt1.0&amp;transitionType=DocumentItem&amp;contextData=(sc.Search)" TargetMode="External"/><Relationship Id="rId14" Type="http://schemas.openxmlformats.org/officeDocument/2006/relationships/hyperlink" Target="http://www.westlaw.com/Link/Document/FullText?findType=L&amp;pubNum=1000201&amp;cite=CACPS6&amp;originatingDoc=I8f38a1fc6e8311e1be29b2facdefeebe&amp;refType=LQ&amp;originationContext=document&amp;vr=3.0&amp;rs=cblt1.0&amp;transitionType=DocumentItem&amp;contextData=(sc.Search)" TargetMode="External"/><Relationship Id="rId22" Type="http://schemas.openxmlformats.org/officeDocument/2006/relationships/hyperlink" Target="http://www.westlaw.com/Link/Document/FullText?findType=L&amp;pubNum=1000201&amp;cite=CACPS166&amp;originatingDoc=I8f38a1fc6e8311e1be29b2facdefeebe&amp;refType=LQ&amp;originationContext=document&amp;vr=3.0&amp;rs=cblt1.0&amp;transitionType=DocumentItem&amp;contextData=(sc.Search)" TargetMode="External"/><Relationship Id="rId27" Type="http://schemas.openxmlformats.org/officeDocument/2006/relationships/hyperlink" Target="http://www.westlaw.com/Link/Document/FullText?findType=L&amp;pubNum=1000201&amp;cite=CACPS1161&amp;originatingDoc=I8f38a1fc6e8311e1be29b2facdefeebe&amp;refType=LQ&amp;originationContext=document&amp;vr=3.0&amp;rs=cblt1.0&amp;transitionType=DocumentItem&amp;contextData=(sc.Search)"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Richards</dc:creator>
  <cp:lastModifiedBy>Ronald Richards</cp:lastModifiedBy>
  <cp:revision>3</cp:revision>
  <dcterms:created xsi:type="dcterms:W3CDTF">2013-04-22T16:44:00Z</dcterms:created>
  <dcterms:modified xsi:type="dcterms:W3CDTF">2013-04-22T16:45:00Z</dcterms:modified>
</cp:coreProperties>
</file>